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31B" w:rsidRPr="00C76B2D" w:rsidRDefault="0069131B" w:rsidP="0069131B">
      <w:pPr>
        <w:widowControl w:val="0"/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76B2D">
        <w:rPr>
          <w:rFonts w:ascii="Times New Roman" w:eastAsia="Times New Roman" w:hAnsi="Times New Roman" w:cs="Times New Roman"/>
          <w:sz w:val="30"/>
          <w:szCs w:val="30"/>
          <w:lang w:eastAsia="ru-RU"/>
        </w:rPr>
        <w:t>МАТЕРИАЛЫ</w:t>
      </w:r>
    </w:p>
    <w:p w:rsidR="0069131B" w:rsidRPr="00C76B2D" w:rsidRDefault="0069131B" w:rsidP="0069131B">
      <w:pPr>
        <w:widowControl w:val="0"/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76B2D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:rsidR="0069131B" w:rsidRPr="00C76B2D" w:rsidRDefault="0069131B" w:rsidP="0069131B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76B2D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 w:rsidR="004B46EF">
        <w:rPr>
          <w:rFonts w:ascii="Times New Roman" w:eastAsia="Times New Roman" w:hAnsi="Times New Roman" w:cs="Times New Roman"/>
          <w:sz w:val="30"/>
          <w:szCs w:val="30"/>
          <w:lang w:eastAsia="ru-RU"/>
        </w:rPr>
        <w:t>февраль,</w:t>
      </w:r>
      <w:r w:rsidRPr="00C76B2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202</w:t>
      </w:r>
      <w:r w:rsidR="004B46EF">
        <w:rPr>
          <w:rFonts w:ascii="Times New Roman" w:eastAsia="Times New Roman" w:hAnsi="Times New Roman" w:cs="Times New Roman"/>
          <w:sz w:val="30"/>
          <w:szCs w:val="30"/>
          <w:lang w:eastAsia="ru-RU"/>
        </w:rPr>
        <w:t>4</w:t>
      </w:r>
      <w:r w:rsidRPr="00C76B2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г.)</w:t>
      </w:r>
    </w:p>
    <w:p w:rsidR="0069131B" w:rsidRDefault="0069131B" w:rsidP="0069131B">
      <w:pPr>
        <w:spacing w:after="0" w:line="360" w:lineRule="auto"/>
        <w:rPr>
          <w:rFonts w:ascii="Times New Roman" w:hAnsi="Times New Roman" w:cs="Times New Roman"/>
          <w:sz w:val="30"/>
          <w:szCs w:val="30"/>
        </w:rPr>
      </w:pPr>
    </w:p>
    <w:p w:rsidR="004B46EF" w:rsidRPr="004B46EF" w:rsidRDefault="004B46EF" w:rsidP="004B46EF">
      <w:pPr>
        <w:shd w:val="clear" w:color="auto" w:fill="FFFFFF"/>
        <w:spacing w:after="0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</w:pPr>
      <w:r w:rsidRPr="004B46EF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 xml:space="preserve">Профилактика пьянства и алкоголизма. </w:t>
      </w:r>
    </w:p>
    <w:p w:rsidR="004B46EF" w:rsidRPr="004B46EF" w:rsidRDefault="004B46EF" w:rsidP="004B46EF">
      <w:pPr>
        <w:shd w:val="clear" w:color="auto" w:fill="FFFFFF"/>
        <w:spacing w:after="0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</w:pPr>
      <w:r w:rsidRPr="004B46EF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Формирование здорового образа жизни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.</w:t>
      </w:r>
    </w:p>
    <w:p w:rsidR="004B46EF" w:rsidRDefault="004B46EF" w:rsidP="00B36D7A">
      <w:pPr>
        <w:spacing w:after="0" w:line="36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4133CB" w:rsidRPr="004133CB" w:rsidRDefault="0069131B" w:rsidP="00B36D7A">
      <w:pPr>
        <w:spacing w:after="0" w:line="360" w:lineRule="auto"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4133CB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4133CB" w:rsidRPr="004133CB">
        <w:rPr>
          <w:rFonts w:ascii="Times New Roman" w:hAnsi="Times New Roman" w:cs="Times New Roman"/>
          <w:i/>
          <w:sz w:val="30"/>
          <w:szCs w:val="30"/>
        </w:rPr>
        <w:t>(дополнительная тема)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>Одной из значимых и актуальных проблем для Республики Беларусь остаются вопросы профилактики пьянства, алкоголизма, а также смертность от внешних причин.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Структура потребления алкоголя в Республике Беларусь (данные 2020 года): водка – 52.3%, пиво – 21.2%, вина марочные – 17.7%, вина плодовые – 8.8% («северная модель»). 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Справочно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: с точки зрения экспертов «идеальная» структура потребления алкоголя: слабый алкоголь, пиво – 50%, вино – 35%, крепкие напитки – 15%.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По оценкам ВОЗ (всемирной организации здравоохранения) связанные с алкоголизмом расходы для общества составляют 2-5% ВВП (при этом только 4% всех прямых затрат связаны с оказанием наркологической помощи, 96% - с устранением последствий алкоголизма, в </w:t>
      </w:r>
      <w:proofErr w:type="spellStart"/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>т.ч</w:t>
      </w:r>
      <w:proofErr w:type="spellEnd"/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обусловленных употреблением алкоголя на рабочем месте). 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Средняя продолжительность жизни у пьющих на 15-20 лет короче, чем у непьющих. 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Почти каждый четвертый алкоголик (23,6%) в своей жизни предпринял хотя бы одну попытку к самоубийству. 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С пьянством и алкоголизмом связано до 50% преступности.                 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Злоупотребление алкоголем хотя бы одним из супругов уносит от 40 до 70% бюджета семьи. С этим явлением связано около 50% всех разводов и абсолютно преобладающая часть случаев социального сиротства. 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Употребление алкоголя способствует развитию более 200 болезней, инвалидности и ранней смертности. 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После выходных производительность труда снижается на 10-15%, после больших праздников – на 25-30%. Употребление алкоголя является одной из основных причин производственного травматизма. Актуальна проблема появления работником на рабочем месте в состоянии алкогольного опьянения, распитие спиртных напитков в рабочее время (в 2017 году зафиксировано 16735 таких фактов, в 2022 году – 18700). 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              Объемы продаж алкоголя за последние 10 лет в Республике Беларусь снизились с 11.6 млн дал в 2011 году до 7.7 млн дал в 2022 году. Доля водки в общем объеме продаж спиртного в Республике Беларусь в 2022 году снизилась на 0.8%, игристых вин – на 4.6%, виноградных вин – на 7.7%, плодового вина – на 9.5%. Объемы продаж пива практически не изменились. При этом увеличилась доля продаж коньяка и бренди на 8%. Резкий рост показали продажи некрепкой выпивки – на 34.5%. Ликеров и </w:t>
      </w:r>
      <w:proofErr w:type="gramStart"/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>ликеро-водочных</w:t>
      </w:r>
      <w:proofErr w:type="gramEnd"/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изделий продали на 14.5% больше, чем в 2021 году. Всего в 2022 году реализовано алкоголя на 5.2 млрд рублей. 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 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Справочно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: Увеличение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объема  продажи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алкоголя на 1л сопровождается ростом уровня общей смертности на 2.6%, сердечно-сосудистой смертности – на 3.1%, смертности от цирроза печени – на 6.1%, острых алкогольных отравлений – на 11.1%, алкоголизма  и алкогольных психозов – на 18%, смертности в результате травм и несчастных случаев – на 6.2%, уровня убийств – на 4.8%.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В Республике Беларусь каждое 7-е ДТП совершается нетрезвыми водителями.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Только по Витебской области в 2022 году задержано 2088 водителей, управлявших автомобилем в нетрезвом виде, из них повторно 77 чел. (в 2021 году соответственно 2318 и 106 человек). За 6 месяцев 2023 года в Витебской области задержано 751 нетрезвый водитель, из них повторно 17 чел. (за 6 месяцев 2022 года соответственно 1085 и 28).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 </w:t>
      </w:r>
      <w:proofErr w:type="spellStart"/>
      <w:r w:rsidR="00F333C8" w:rsidRPr="00F333C8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Справочно</w:t>
      </w:r>
      <w:proofErr w:type="spellEnd"/>
      <w:r w:rsidR="00F333C8" w:rsidRPr="00F333C8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: В Городокском районе н</w:t>
      </w: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а учете в наркологическом кабинете с диагнозом синдром зависимости от алкоголя состоит 548 человек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(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2022 год – 515 чел.), один гражданин по поводу синдрома сочетанной зависимости от алкоголя и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каннабиноидов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, один гражданин по поводу сочетанной зависимости от алкоголя и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психостимуляторов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, в 2022 году состоял один гражданин по поводу синдрома зависимости от наркотических средств, снят в связи с длительной ремиссией. С диагнозом: Употребление алкоголя с вредными последствиями наблюдается – 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10  подростков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(в 2022 году – 6 подростков), один несовершеннолетний наблюдается по поводу употребления антипсихотиков с вредными последствиями, под наблюдение переведен из г. Витебска. В группе контроля по поводу однократного употребления алкоголя наблюдается 21 несовершеннолетний (в 2022 году за аналогичный период наблюдались 16 человек). За 9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месяцев  2023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года взято на учет с хроническим алкоголизмом –  72 человек (2022 год – 48 чел.),  по поводу употребления алкоголя с вредными последствиями – 9 человек, из них дети до 18 лет – 5 человек, по поводу однократного употребления алкоголя  – 9 подростков. Снято с диспансерного учета 46 человек (за аналогичный период 2022</w:t>
      </w:r>
      <w:r w:rsidR="00FE1537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г.</w:t>
      </w: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58 человек), из них в связи с ремиссией 31 человек.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lastRenderedPageBreak/>
        <w:t xml:space="preserve">              На каждого пациента, состоящего под диспансерным наблюдением у врача-нарколога заведена контрольная карта диспансерного наблюдения, где имеются личные данные пациента, а также осуществляется контроль явок для осмотра. Все пациенты, состоящие на наркологическом учёте, наблюдаются согласно своей группе диспансерного наблюдения. Так, пациенты 1-й группы диспансерного наблюдения должны являться на прием к врачу-наркологу ежемесячно, в момент явки осуществляется медицинское интервью, оценивается психический и соматоневрологический статус, исключается состояние опьянения или абстинентное состояние, индивидуально решается вопрос о необходимости медикаментозной терапии, а также объем психологической интервенции.  При переводе пациента в другую группу наблюдения или при решении вопроса о прекращении диспансерного наблюдения дополнительно для объективных сведений запрашивается, либо пациентом самостоятельно в письменном виде предоставляется характеризующая информация с места работы, сельского исполкома, РОВД, подтверждающая отсутствие данных за алкоголизацию пациента за последний год. 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   От всего количества лиц, состоящих на учёте у врача-нарколога 32% лиц, являются регулярно, в основном лица, находящиеся на принудительном лечении от хронического алкоголизма в соответствии со ст. 107 УК Республики Беларусь, лица с сохранной критикой к заболеванию, имеющие высокий реабилитационный потенциал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и  работающие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граждане. На принудительном амбулаторном лечении в соответствии со ст. 107 УК Республики Беларусь состоит 100 человек. Также имеются и лица, уклоняющиеся от диспансерного наблюдения (36 человек), в основном это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лица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длительно находящиеся на заработках в странах ближнего зарубежья. В работе с такими лицами предпринимаются попытки установить связь, высылаются уведомления о необходимости явки к врачу-наркологу, они посещаются на дому, делаются запросы в РОВД об оказании содействия в доставке на прием.  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    УЗ «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Городокской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ЦРБ» оказывается наркологическая помощь, как в стационарных, так и в амбулаторных условиях в соответствии с протоколами диагностики и лечения психических и поведенческих расстройств Минздрава Республики Беларусь. Стационарная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помощь  в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УЗ «Городокская ЦРБ» оказывается при неотложных состояниях, например, состояние алкогольного опьянения тяжелой степени, абстинентные состояния с судорожными припадками, делирием. В иных случаях для оказания специализированной помощи, лица направляются в УЗ «ВОКЦ психиатрии и наркологии». Стационарно пролечено в УЗ </w:t>
      </w: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lastRenderedPageBreak/>
        <w:t xml:space="preserve">«ВОКЦ психиатрии и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наркологии»  -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84 человека. На амбулаторном уровне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подучётным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лицам помощь оказывается врачом-психиатром-наркологом, в основном это мотивационная беседа, назначение  медикаментозного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противоалкогольного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лечения по показаниям, также проводится консультирование родственников пациентов и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созависимых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лиц, при отсутствии врача-психиатра-нарколога помощь оказывается врачами общей практики; психологом районной больницы  проводится психологическая диагностика по запросу врача-психиатра-нарколога, психологическое консультирование, психотерапия и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психокоррекция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, где используются проблемно-ориентированные, личностно-ориентированные, духовно- и социально-ориентированные подходы.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   В отношении лиц, страдающих алкоголизмом или наркоманией УЗ   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«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Городокской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ЦРБ» принимаются меры медико-социальной реабилитации в форме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психообразования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, консультаций на повышение мотивации к трезвому образу жизни, психотерапевтические и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психокоррекционные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интервенции; врачом-психиатром-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наркологом  составляется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индивидуальная программа социальной реабилитации (далее – ИПСР), включающая в себя профессиональную и трудовую реабилитацию, правовую, материальную, психологическую помощь. ИПСР выдается на руки пациенту, а также направляется в ТЦСОН, Управление по труду, занятости и социальной защите. Так, за период 9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мес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2022 года выдано 58 ИПСР лицам, страдающим алкоголизмом и 1 ИПСР выдана лицу, страдающему наркоманией, за 9 месяцев 2023 года выдано 63 ИПСР лицам, страдающим алкоголизмом.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   Особое внимание в районе уделяется межведомственному взаимодействию субъектов профилактики, работа которых направлена на повышение качества и эффективности профилактики пьянства и алкоголизма, правонарушений, предотвращению гибели людей от внешних факторов, вовлечению граждан в общественно полезную деятельность.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  Ведется регулярное   взаимодействие с органами внутренних дел по профилактическим мероприятиям с лицами, склонными к злоупотреблению спиртными напитками. А также совместной координации действий по своевременному выявлению   факторов, ведущих к зависимостям. Благодаря своевременному и регулярному обмену информацией с РОВД, МЧС, СПЦ, ТЦСОН, учреждениями образования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определяются  лица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, ведущие асоциальный образ жизни, злоупотребляющие алкоголем или ПАВ и (или) склонные к совершению правонарушений. Данная категория лиц, попавшая в поле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зрения  вышеуказанных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служб, обследуется и в случае необходимости, определяется под наблюдение. Проводится индивидуальная и разъяснительная работа со взрослым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населением  и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</w:t>
      </w: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lastRenderedPageBreak/>
        <w:t>несовершеннолетними, в том числе и  состоящими на профилактическом учете и в «группе риска».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 Субъектами профилактики района, том числе УЗ «Городокская ЦРБ» распечатано и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размещено  свыше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1000 буклетов и листовок  антиалкогольной  направленности в торговых объектах, на информационных стендах  учреждений здравоохранения и местах массового пребывания граждан. Информационно-профилактические листовки, плакаты и буклеты доносят до сведения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граждан  пагубное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влияние алкоголя на организм человека и формирование зависимости от него, содержат номера телефонов служб, оказывающих помощь лицам, страдающим зависимостями, отделом идеологической работы и по делам молодёжи Городокского района на регулярной основе тема освящается в трудовых коллективах района в рамках единого дня информирования, освящается в информационных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бюллетнях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.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   В СМИ регулярно публикуется информация о действующих службах, оказывающих наркологическую, психологическую социальную помощь. Социальная реклама, информационно-профилактические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листовки,  плакаты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, буклеты, иные формы печатной продукции по проблемам употребления спиртных напитков, 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наркопотребления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размещены в учреждениях образования и культуры района, в том числе библиотечной сети, Городокском городском Доме культуры, на предприятиях и в организациях района, в помещениях советов ОПОП.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   Участковой службой УЗ «Городокская ЦРБ» при проведении ежегодной диспансеризации проводится обследование лиц «групп риска» на наличие биохимических критериев злоупотребления алкоголем, с целью предупреждения преждевременной смерти от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причин,  связанных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с употреблением алкоголя. С данной категорией лиц </w:t>
      </w:r>
      <w:proofErr w:type="gram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проводятся  профилактические</w:t>
      </w:r>
      <w:proofErr w:type="gram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беседы  в целях снижения ими количества употребляемого алкоголя.</w:t>
      </w: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      Организовано информирование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Городокской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центральной больницы о лицах, злоупотребляющих алкоголем и выявленных в ходе работы субъектов профилактики правонарушений, в том числе индивидуально-профилактической работы в жилищном фонде. По итогу проведения смотровой комиссией обследования домовладений, председателями смотровых комиссий информация передается в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Городокскую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ЦРБ в форме протоколов поручений.  В результате реализации Декрета Президента Республики Беларусь от 24 ноября 2006 г. 18 "О дополнительных мерах по государственной защите детей в неблагополучных семьях" КДН Городокского райисполкома направляет информацию о родителях, склонных к алкоголизации.   Также по мере проведения индивидуально-профилактической работы субъектами профилактики (учреждения образования,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сельиполкомы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, РОЧС, </w:t>
      </w: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lastRenderedPageBreak/>
        <w:t xml:space="preserve">ТЦСОН) при обнаружении лиц данной категории, сведения направляются в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Городокскую</w:t>
      </w:r>
      <w:proofErr w:type="spellEnd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ЦРБ для принятия мер по компетенции. </w:t>
      </w:r>
    </w:p>
    <w:p w:rsid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         Регулярно проводятся мероприятия в интеграции с РОВД, ТЦСОН, </w:t>
      </w:r>
      <w:proofErr w:type="spellStart"/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священослужителями</w:t>
      </w:r>
      <w:proofErr w:type="spellEnd"/>
      <w:r w:rsidR="00F333C8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:</w:t>
      </w:r>
      <w:r w:rsidRPr="004133C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«Быт», «Дом без насилия», «Общими усилиями остановим насилие», «Стоп зависимость!» и др.</w:t>
      </w:r>
    </w:p>
    <w:p w:rsidR="006059A9" w:rsidRPr="006059A9" w:rsidRDefault="006059A9" w:rsidP="00A324A3">
      <w:pPr>
        <w:spacing w:after="29" w:line="248" w:lineRule="auto"/>
        <w:ind w:left="47" w:right="71" w:firstLine="710"/>
        <w:jc w:val="both"/>
        <w:rPr>
          <w:rFonts w:ascii="Times New Roman" w:eastAsia="Times New Roman" w:hAnsi="Times New Roman" w:cs="Times New Roman"/>
          <w:i/>
          <w:color w:val="000000"/>
          <w:sz w:val="30"/>
        </w:rPr>
      </w:pPr>
      <w:bookmarkStart w:id="0" w:name="_GoBack"/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 xml:space="preserve">Всего за </w:t>
      </w:r>
      <w:r w:rsidR="00A324A3" w:rsidRPr="00A01AE0">
        <w:rPr>
          <w:rFonts w:ascii="Times New Roman" w:eastAsia="Times New Roman" w:hAnsi="Times New Roman" w:cs="Times New Roman"/>
          <w:i/>
          <w:color w:val="000000"/>
          <w:sz w:val="30"/>
        </w:rPr>
        <w:t>2023 год</w:t>
      </w:r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 xml:space="preserve"> на территории Городокского района зарегистрировано 162 преступления из которых 17 в со</w:t>
      </w:r>
      <w:r w:rsidR="00A324A3" w:rsidRPr="00A01AE0">
        <w:rPr>
          <w:rFonts w:ascii="Times New Roman" w:eastAsia="Times New Roman" w:hAnsi="Times New Roman" w:cs="Times New Roman"/>
          <w:i/>
          <w:color w:val="000000"/>
          <w:sz w:val="30"/>
        </w:rPr>
        <w:t>стоянии алкогольного опьянения.</w:t>
      </w:r>
      <w:r w:rsidRPr="00A01AE0">
        <w:rPr>
          <w:rFonts w:ascii="Times New Roman" w:eastAsia="Times New Roman" w:hAnsi="Times New Roman" w:cs="Times New Roman"/>
          <w:i/>
          <w:noProof/>
          <w:color w:val="000000"/>
          <w:sz w:val="30"/>
          <w:lang w:eastAsia="ru-RU"/>
        </w:rPr>
        <w:drawing>
          <wp:anchor distT="0" distB="0" distL="114300" distR="114300" simplePos="0" relativeHeight="251659264" behindDoc="0" locked="0" layoutInCell="1" allowOverlap="0" wp14:anchorId="0DDF501F" wp14:editId="4B11660A">
            <wp:simplePos x="0" y="0"/>
            <wp:positionH relativeFrom="page">
              <wp:posOffset>7278370</wp:posOffset>
            </wp:positionH>
            <wp:positionV relativeFrom="page">
              <wp:posOffset>1179830</wp:posOffset>
            </wp:positionV>
            <wp:extent cx="6350" cy="3175"/>
            <wp:effectExtent l="0" t="0" r="0" b="0"/>
            <wp:wrapSquare wrapText="bothSides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5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1AE0">
        <w:rPr>
          <w:rFonts w:ascii="Times New Roman" w:eastAsia="Times New Roman" w:hAnsi="Times New Roman" w:cs="Times New Roman"/>
          <w:i/>
          <w:noProof/>
          <w:color w:val="000000"/>
          <w:sz w:val="30"/>
          <w:lang w:eastAsia="ru-RU"/>
        </w:rPr>
        <w:drawing>
          <wp:anchor distT="0" distB="0" distL="114300" distR="114300" simplePos="0" relativeHeight="251660288" behindDoc="0" locked="0" layoutInCell="1" allowOverlap="0" wp14:anchorId="758470FC" wp14:editId="74EF6E34">
            <wp:simplePos x="0" y="0"/>
            <wp:positionH relativeFrom="page">
              <wp:posOffset>7281545</wp:posOffset>
            </wp:positionH>
            <wp:positionV relativeFrom="page">
              <wp:posOffset>8061960</wp:posOffset>
            </wp:positionV>
            <wp:extent cx="27305" cy="21590"/>
            <wp:effectExtent l="0" t="0" r="0" b="0"/>
            <wp:wrapSquare wrapText="bothSides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6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1AE0">
        <w:rPr>
          <w:rFonts w:ascii="Times New Roman" w:eastAsia="Times New Roman" w:hAnsi="Times New Roman" w:cs="Times New Roman"/>
          <w:i/>
          <w:noProof/>
          <w:color w:val="000000"/>
          <w:sz w:val="30"/>
          <w:lang w:eastAsia="ru-RU"/>
        </w:rPr>
        <w:drawing>
          <wp:anchor distT="0" distB="0" distL="114300" distR="114300" simplePos="0" relativeHeight="251661312" behindDoc="0" locked="0" layoutInCell="1" allowOverlap="0" wp14:anchorId="2063A812" wp14:editId="2A3372A9">
            <wp:simplePos x="0" y="0"/>
            <wp:positionH relativeFrom="page">
              <wp:posOffset>7336790</wp:posOffset>
            </wp:positionH>
            <wp:positionV relativeFrom="page">
              <wp:posOffset>8077200</wp:posOffset>
            </wp:positionV>
            <wp:extent cx="33655" cy="24130"/>
            <wp:effectExtent l="0" t="0" r="4445" b="0"/>
            <wp:wrapSquare wrapText="bothSides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6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1AE0">
        <w:rPr>
          <w:rFonts w:ascii="Times New Roman" w:eastAsia="Times New Roman" w:hAnsi="Times New Roman" w:cs="Times New Roman"/>
          <w:i/>
          <w:noProof/>
          <w:color w:val="000000"/>
          <w:sz w:val="30"/>
          <w:lang w:eastAsia="ru-RU"/>
        </w:rPr>
        <w:drawing>
          <wp:anchor distT="0" distB="0" distL="114300" distR="114300" simplePos="0" relativeHeight="251662336" behindDoc="0" locked="0" layoutInCell="1" allowOverlap="0" wp14:anchorId="12C2991C" wp14:editId="4E78873C">
            <wp:simplePos x="0" y="0"/>
            <wp:positionH relativeFrom="page">
              <wp:posOffset>7318375</wp:posOffset>
            </wp:positionH>
            <wp:positionV relativeFrom="page">
              <wp:posOffset>8083550</wp:posOffset>
            </wp:positionV>
            <wp:extent cx="3175" cy="3175"/>
            <wp:effectExtent l="0" t="0" r="0" b="0"/>
            <wp:wrapSquare wrapText="bothSides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6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1AE0">
        <w:rPr>
          <w:rFonts w:ascii="Times New Roman" w:eastAsia="Times New Roman" w:hAnsi="Times New Roman" w:cs="Times New Roman"/>
          <w:i/>
          <w:noProof/>
          <w:color w:val="000000"/>
          <w:sz w:val="30"/>
          <w:lang w:eastAsia="ru-RU"/>
        </w:rPr>
        <w:drawing>
          <wp:anchor distT="0" distB="0" distL="114300" distR="114300" simplePos="0" relativeHeight="251663360" behindDoc="0" locked="0" layoutInCell="1" allowOverlap="0" wp14:anchorId="00E8EE41" wp14:editId="0308E4D8">
            <wp:simplePos x="0" y="0"/>
            <wp:positionH relativeFrom="page">
              <wp:posOffset>7333615</wp:posOffset>
            </wp:positionH>
            <wp:positionV relativeFrom="page">
              <wp:posOffset>8104505</wp:posOffset>
            </wp:positionV>
            <wp:extent cx="3175" cy="6350"/>
            <wp:effectExtent l="0" t="0" r="0" b="0"/>
            <wp:wrapSquare wrapText="bothSides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6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1AE0">
        <w:rPr>
          <w:rFonts w:ascii="Times New Roman" w:eastAsia="Times New Roman" w:hAnsi="Times New Roman" w:cs="Times New Roman"/>
          <w:i/>
          <w:noProof/>
          <w:color w:val="000000"/>
          <w:sz w:val="30"/>
          <w:lang w:eastAsia="ru-RU"/>
        </w:rPr>
        <w:drawing>
          <wp:anchor distT="0" distB="0" distL="114300" distR="114300" simplePos="0" relativeHeight="251664384" behindDoc="0" locked="0" layoutInCell="1" allowOverlap="0" wp14:anchorId="073FF2E9" wp14:editId="3B569BB6">
            <wp:simplePos x="0" y="0"/>
            <wp:positionH relativeFrom="page">
              <wp:posOffset>7348855</wp:posOffset>
            </wp:positionH>
            <wp:positionV relativeFrom="page">
              <wp:posOffset>8110855</wp:posOffset>
            </wp:positionV>
            <wp:extent cx="3175" cy="3175"/>
            <wp:effectExtent l="0" t="0" r="0" b="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6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24A3" w:rsidRPr="00A01AE0">
        <w:rPr>
          <w:rFonts w:ascii="Times New Roman" w:eastAsia="Times New Roman" w:hAnsi="Times New Roman" w:cs="Times New Roman"/>
          <w:i/>
          <w:color w:val="000000"/>
          <w:sz w:val="30"/>
        </w:rPr>
        <w:t xml:space="preserve"> </w:t>
      </w:r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 xml:space="preserve">Из 17 преступлений совершенных в состоянии алкогольного </w:t>
      </w:r>
      <w:r w:rsidRPr="00A01AE0">
        <w:rPr>
          <w:rFonts w:ascii="Times New Roman" w:eastAsia="Times New Roman" w:hAnsi="Times New Roman" w:cs="Times New Roman"/>
          <w:i/>
          <w:noProof/>
          <w:color w:val="000000"/>
          <w:sz w:val="30"/>
          <w:lang w:eastAsia="ru-RU"/>
        </w:rPr>
        <w:drawing>
          <wp:inline distT="0" distB="0" distL="0" distR="0" wp14:anchorId="5B6DC136" wp14:editId="1C9A15F4">
            <wp:extent cx="38100" cy="571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01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>опьянения 6 было со</w:t>
      </w:r>
      <w:r w:rsidR="00A324A3" w:rsidRPr="00A01AE0">
        <w:rPr>
          <w:rFonts w:ascii="Times New Roman" w:eastAsia="Times New Roman" w:hAnsi="Times New Roman" w:cs="Times New Roman"/>
          <w:i/>
          <w:color w:val="000000"/>
          <w:sz w:val="30"/>
        </w:rPr>
        <w:t>вершено на территории г. Городка</w:t>
      </w:r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 xml:space="preserve">. Наибольшее количество </w:t>
      </w:r>
      <w:proofErr w:type="gramStart"/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>преступлений</w:t>
      </w:r>
      <w:proofErr w:type="gramEnd"/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 xml:space="preserve"> совершённых в состоянии алкогольного опьянения из сельской местности совершено на территории </w:t>
      </w:r>
      <w:proofErr w:type="spellStart"/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>Стодолищанского</w:t>
      </w:r>
      <w:proofErr w:type="spellEnd"/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 xml:space="preserve"> (З), Первомайского (2) и </w:t>
      </w:r>
      <w:proofErr w:type="spellStart"/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>Вировлянского</w:t>
      </w:r>
      <w:proofErr w:type="spellEnd"/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 xml:space="preserve"> (2) сельских советах, на территории </w:t>
      </w:r>
      <w:proofErr w:type="spellStart"/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>Вайханского</w:t>
      </w:r>
      <w:proofErr w:type="spellEnd"/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 xml:space="preserve">, </w:t>
      </w:r>
      <w:proofErr w:type="spellStart"/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>Езерищанского</w:t>
      </w:r>
      <w:proofErr w:type="spellEnd"/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 xml:space="preserve">, </w:t>
      </w:r>
      <w:proofErr w:type="spellStart"/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>Межанского</w:t>
      </w:r>
      <w:proofErr w:type="spellEnd"/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 xml:space="preserve"> и </w:t>
      </w:r>
      <w:proofErr w:type="spellStart"/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>Бычихинского</w:t>
      </w:r>
      <w:proofErr w:type="spellEnd"/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 xml:space="preserve"> сельских советах совершено по 1 преступлению.</w:t>
      </w:r>
    </w:p>
    <w:p w:rsidR="006059A9" w:rsidRPr="006059A9" w:rsidRDefault="006059A9" w:rsidP="006059A9">
      <w:pPr>
        <w:spacing w:after="5" w:line="248" w:lineRule="auto"/>
        <w:ind w:left="47" w:right="5" w:firstLine="710"/>
        <w:jc w:val="both"/>
        <w:rPr>
          <w:rFonts w:ascii="Times New Roman" w:eastAsia="Times New Roman" w:hAnsi="Times New Roman" w:cs="Times New Roman"/>
          <w:i/>
          <w:color w:val="000000"/>
          <w:sz w:val="30"/>
        </w:rPr>
      </w:pPr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 xml:space="preserve">В ЛТП в текущем году было направлено 13 лиц (АППГ — 15). При этом с учётом снижения направляемых лиц в ЛТП исходя из анализа административной практики уменьшилось и по количество выявления административных правонарушений предусмотренных ст. 19.3 КоАП (З 14 </w:t>
      </w:r>
      <w:r w:rsidRPr="00A01AE0">
        <w:rPr>
          <w:rFonts w:ascii="Times New Roman" w:eastAsia="Times New Roman" w:hAnsi="Times New Roman" w:cs="Times New Roman"/>
          <w:i/>
          <w:noProof/>
          <w:color w:val="000000"/>
          <w:sz w:val="30"/>
          <w:lang w:eastAsia="ru-RU"/>
        </w:rPr>
        <w:drawing>
          <wp:inline distT="0" distB="0" distL="0" distR="0">
            <wp:extent cx="104775" cy="95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6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 xml:space="preserve"> 121). Результаты работы по изъятию из незаконного оборота самогона, самогонной браги, алкогольной продукции, этилового спирта и </w:t>
      </w:r>
      <w:r w:rsidRPr="00A01AE0">
        <w:rPr>
          <w:rFonts w:ascii="Times New Roman" w:eastAsia="Times New Roman" w:hAnsi="Times New Roman" w:cs="Times New Roman"/>
          <w:i/>
          <w:noProof/>
          <w:color w:val="000000"/>
          <w:sz w:val="30"/>
          <w:lang w:eastAsia="ru-RU"/>
        </w:rPr>
        <w:drawing>
          <wp:inline distT="0" distB="0" distL="0" distR="0">
            <wp:extent cx="47625" cy="1143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02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 xml:space="preserve">непищевой спиртосодержащей продукции по итогам 2023 года являются выше по сравнению с АППГ. При этом количество </w:t>
      </w:r>
      <w:proofErr w:type="gramStart"/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>лиц</w:t>
      </w:r>
      <w:proofErr w:type="gramEnd"/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 xml:space="preserve"> привлечённых к ответственности за незаконный оборот алкогольной продукции снижено с 14 до 13, изъятие самогонных аппаратов с 4 до 3</w:t>
      </w:r>
      <w:r w:rsidR="00A324A3" w:rsidRPr="00A01AE0">
        <w:rPr>
          <w:rFonts w:ascii="Times New Roman" w:eastAsia="Times New Roman" w:hAnsi="Times New Roman" w:cs="Times New Roman"/>
          <w:i/>
          <w:color w:val="000000"/>
          <w:sz w:val="30"/>
        </w:rPr>
        <w:t>.</w:t>
      </w:r>
    </w:p>
    <w:p w:rsidR="006059A9" w:rsidRPr="006059A9" w:rsidRDefault="006059A9" w:rsidP="006059A9">
      <w:pPr>
        <w:spacing w:after="42" w:line="248" w:lineRule="auto"/>
        <w:ind w:left="119" w:right="71" w:firstLine="538"/>
        <w:jc w:val="both"/>
        <w:rPr>
          <w:rFonts w:ascii="Times New Roman" w:eastAsia="Times New Roman" w:hAnsi="Times New Roman" w:cs="Times New Roman"/>
          <w:i/>
          <w:color w:val="000000"/>
          <w:sz w:val="30"/>
        </w:rPr>
      </w:pPr>
      <w:r w:rsidRPr="00A01AE0">
        <w:rPr>
          <w:rFonts w:ascii="Times New Roman" w:eastAsia="Times New Roman" w:hAnsi="Times New Roman" w:cs="Times New Roman"/>
          <w:i/>
          <w:noProof/>
          <w:color w:val="000000"/>
          <w:sz w:val="30"/>
          <w:lang w:eastAsia="ru-RU"/>
        </w:rPr>
        <w:drawing>
          <wp:anchor distT="0" distB="0" distL="114300" distR="114300" simplePos="0" relativeHeight="251675648" behindDoc="0" locked="0" layoutInCell="1" allowOverlap="0">
            <wp:simplePos x="0" y="0"/>
            <wp:positionH relativeFrom="page">
              <wp:posOffset>655320</wp:posOffset>
            </wp:positionH>
            <wp:positionV relativeFrom="page">
              <wp:posOffset>4550410</wp:posOffset>
            </wp:positionV>
            <wp:extent cx="12065" cy="889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3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>При анализе правонарушений, связанных с употреблением алкоголя, совершёнными несовершеннолетними</w:t>
      </w:r>
      <w:r w:rsidR="00A324A3" w:rsidRPr="00A01AE0">
        <w:rPr>
          <w:rFonts w:ascii="Times New Roman" w:eastAsia="Times New Roman" w:hAnsi="Times New Roman" w:cs="Times New Roman"/>
          <w:i/>
          <w:color w:val="000000"/>
          <w:sz w:val="30"/>
        </w:rPr>
        <w:t xml:space="preserve"> в Городокском районе</w:t>
      </w:r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 xml:space="preserve">, видно, что </w:t>
      </w:r>
      <w:r w:rsidR="00A324A3" w:rsidRPr="00A01AE0">
        <w:rPr>
          <w:rFonts w:ascii="Times New Roman" w:eastAsia="Times New Roman" w:hAnsi="Times New Roman" w:cs="Times New Roman"/>
          <w:i/>
          <w:color w:val="000000"/>
          <w:sz w:val="30"/>
        </w:rPr>
        <w:t>н</w:t>
      </w:r>
      <w:r w:rsidRPr="006059A9">
        <w:rPr>
          <w:rFonts w:ascii="Times New Roman" w:eastAsia="Times New Roman" w:hAnsi="Times New Roman" w:cs="Times New Roman"/>
          <w:i/>
          <w:color w:val="000000"/>
          <w:sz w:val="30"/>
        </w:rPr>
        <w:t>аибольшее количество совершено учащимися УО ГГАТК.</w:t>
      </w:r>
    </w:p>
    <w:bookmarkEnd w:id="0"/>
    <w:p w:rsidR="006059A9" w:rsidRPr="004133CB" w:rsidRDefault="006059A9" w:rsidP="004B46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</w:p>
    <w:p w:rsidR="004133CB" w:rsidRPr="004133CB" w:rsidRDefault="004133CB" w:rsidP="004B46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</w:p>
    <w:p w:rsidR="004133CB" w:rsidRPr="00F333C8" w:rsidRDefault="004133CB" w:rsidP="004B46EF">
      <w:pPr>
        <w:spacing w:after="0" w:line="240" w:lineRule="auto"/>
        <w:rPr>
          <w:rFonts w:ascii="Times New Roman" w:hAnsi="Times New Roman" w:cs="Times New Roman"/>
          <w:i/>
          <w:sz w:val="30"/>
          <w:szCs w:val="30"/>
        </w:rPr>
      </w:pPr>
    </w:p>
    <w:sectPr w:rsidR="004133CB" w:rsidRPr="00F33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60D45"/>
    <w:multiLevelType w:val="hybridMultilevel"/>
    <w:tmpl w:val="82242130"/>
    <w:lvl w:ilvl="0" w:tplc="7C44BF2E">
      <w:start w:val="1"/>
      <w:numFmt w:val="bullet"/>
      <w:lvlText w:val="-"/>
      <w:lvlJc w:val="left"/>
      <w:pPr>
        <w:ind w:left="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E14EE9F8">
      <w:start w:val="1"/>
      <w:numFmt w:val="bullet"/>
      <w:lvlText w:val="o"/>
      <w:lvlJc w:val="left"/>
      <w:pPr>
        <w:ind w:left="1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766815BE">
      <w:start w:val="1"/>
      <w:numFmt w:val="bullet"/>
      <w:lvlText w:val="▪"/>
      <w:lvlJc w:val="left"/>
      <w:pPr>
        <w:ind w:left="1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6644C350">
      <w:start w:val="1"/>
      <w:numFmt w:val="bullet"/>
      <w:lvlText w:val="•"/>
      <w:lvlJc w:val="left"/>
      <w:pPr>
        <w:ind w:left="2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56F459C6">
      <w:start w:val="1"/>
      <w:numFmt w:val="bullet"/>
      <w:lvlText w:val="o"/>
      <w:lvlJc w:val="left"/>
      <w:pPr>
        <w:ind w:left="3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983A7AB8">
      <w:start w:val="1"/>
      <w:numFmt w:val="bullet"/>
      <w:lvlText w:val="▪"/>
      <w:lvlJc w:val="left"/>
      <w:pPr>
        <w:ind w:left="4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46BAB6AC">
      <w:start w:val="1"/>
      <w:numFmt w:val="bullet"/>
      <w:lvlText w:val="•"/>
      <w:lvlJc w:val="left"/>
      <w:pPr>
        <w:ind w:left="4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5CC68D6E">
      <w:start w:val="1"/>
      <w:numFmt w:val="bullet"/>
      <w:lvlText w:val="o"/>
      <w:lvlJc w:val="left"/>
      <w:pPr>
        <w:ind w:left="5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4588EBAE">
      <w:start w:val="1"/>
      <w:numFmt w:val="bullet"/>
      <w:lvlText w:val="▪"/>
      <w:lvlJc w:val="left"/>
      <w:pPr>
        <w:ind w:left="6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3CB"/>
    <w:rsid w:val="00004363"/>
    <w:rsid w:val="004133CB"/>
    <w:rsid w:val="004B46EF"/>
    <w:rsid w:val="006059A9"/>
    <w:rsid w:val="0069131B"/>
    <w:rsid w:val="0098461E"/>
    <w:rsid w:val="00A01AE0"/>
    <w:rsid w:val="00A324A3"/>
    <w:rsid w:val="00B36D7A"/>
    <w:rsid w:val="00F333C8"/>
    <w:rsid w:val="00FE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2101"/>
  <w15:chartTrackingRefBased/>
  <w15:docId w15:val="{92752753-3F0A-42ED-89BC-AEE3E3C5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2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2098</Words>
  <Characters>11960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2024-02-12T07:00:00Z</dcterms:created>
  <dcterms:modified xsi:type="dcterms:W3CDTF">2024-02-12T09:29:00Z</dcterms:modified>
</cp:coreProperties>
</file>