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07A" w:rsidRDefault="0035607A" w:rsidP="0035607A">
      <w:pPr>
        <w:pStyle w:val="a8"/>
        <w:rPr>
          <w:rFonts w:ascii="Times New Roman" w:hAnsi="Times New Roman"/>
          <w:sz w:val="30"/>
          <w:szCs w:val="30"/>
        </w:rPr>
      </w:pPr>
      <w:r>
        <w:rPr>
          <w:rFonts w:ascii="Times New Roman" w:hAnsi="Times New Roman"/>
          <w:sz w:val="30"/>
          <w:szCs w:val="30"/>
        </w:rPr>
        <w:t>МАТЕРИАЛЫ</w:t>
      </w:r>
    </w:p>
    <w:p w:rsidR="0035607A" w:rsidRDefault="0035607A" w:rsidP="0035607A">
      <w:pPr>
        <w:pStyle w:val="a8"/>
        <w:rPr>
          <w:rFonts w:ascii="Times New Roman" w:hAnsi="Times New Roman"/>
          <w:sz w:val="30"/>
          <w:szCs w:val="30"/>
        </w:rPr>
      </w:pPr>
      <w:proofErr w:type="gramStart"/>
      <w:r>
        <w:rPr>
          <w:rFonts w:ascii="Times New Roman" w:hAnsi="Times New Roman"/>
          <w:sz w:val="30"/>
          <w:szCs w:val="30"/>
        </w:rPr>
        <w:t>для</w:t>
      </w:r>
      <w:proofErr w:type="gramEnd"/>
      <w:r>
        <w:rPr>
          <w:rFonts w:ascii="Times New Roman" w:hAnsi="Times New Roman"/>
          <w:sz w:val="30"/>
          <w:szCs w:val="30"/>
        </w:rPr>
        <w:t xml:space="preserve"> членов информационно-пропагандистских групп</w:t>
      </w:r>
    </w:p>
    <w:p w:rsidR="0035607A" w:rsidRDefault="0035607A" w:rsidP="0035607A">
      <w:pPr>
        <w:pStyle w:val="a8"/>
        <w:rPr>
          <w:rFonts w:ascii="Times New Roman" w:hAnsi="Times New Roman"/>
          <w:sz w:val="30"/>
          <w:szCs w:val="30"/>
        </w:rPr>
      </w:pPr>
      <w:r>
        <w:rPr>
          <w:rFonts w:ascii="Times New Roman" w:hAnsi="Times New Roman"/>
          <w:sz w:val="30"/>
          <w:szCs w:val="30"/>
        </w:rPr>
        <w:t>(</w:t>
      </w:r>
      <w:proofErr w:type="gramStart"/>
      <w:r>
        <w:rPr>
          <w:rFonts w:ascii="Times New Roman" w:hAnsi="Times New Roman"/>
          <w:sz w:val="30"/>
          <w:szCs w:val="30"/>
        </w:rPr>
        <w:t>август</w:t>
      </w:r>
      <w:proofErr w:type="gramEnd"/>
      <w:r>
        <w:rPr>
          <w:rFonts w:ascii="Times New Roman" w:hAnsi="Times New Roman"/>
          <w:sz w:val="30"/>
          <w:szCs w:val="30"/>
        </w:rPr>
        <w:t>, 2025 г.)</w:t>
      </w:r>
    </w:p>
    <w:p w:rsidR="002F38B6" w:rsidRDefault="002F38B6" w:rsidP="0035607A">
      <w:pPr>
        <w:jc w:val="both"/>
        <w:rPr>
          <w:sz w:val="28"/>
        </w:rPr>
      </w:pPr>
    </w:p>
    <w:p w:rsidR="0035607A" w:rsidRDefault="0035607A" w:rsidP="0035607A">
      <w:pPr>
        <w:jc w:val="both"/>
        <w:rPr>
          <w:sz w:val="28"/>
        </w:rPr>
      </w:pPr>
    </w:p>
    <w:p w:rsidR="0035607A" w:rsidRDefault="0035607A" w:rsidP="0035607A">
      <w:pPr>
        <w:jc w:val="center"/>
        <w:rPr>
          <w:sz w:val="28"/>
        </w:rPr>
      </w:pPr>
      <w:bookmarkStart w:id="0" w:name="_GoBack"/>
      <w:r>
        <w:rPr>
          <w:sz w:val="28"/>
        </w:rPr>
        <w:t xml:space="preserve">Профилактика дорожно-транспортных происшествий в </w:t>
      </w:r>
      <w:proofErr w:type="spellStart"/>
      <w:r>
        <w:rPr>
          <w:sz w:val="28"/>
        </w:rPr>
        <w:t>Городокском</w:t>
      </w:r>
      <w:proofErr w:type="spellEnd"/>
      <w:r>
        <w:rPr>
          <w:sz w:val="28"/>
        </w:rPr>
        <w:t xml:space="preserve"> районе.</w:t>
      </w:r>
      <w:bookmarkEnd w:id="0"/>
    </w:p>
    <w:p w:rsidR="0035607A" w:rsidRDefault="0035607A" w:rsidP="0035607A">
      <w:pPr>
        <w:jc w:val="center"/>
        <w:rPr>
          <w:sz w:val="28"/>
        </w:rPr>
      </w:pPr>
    </w:p>
    <w:p w:rsidR="0035607A" w:rsidRPr="0035607A" w:rsidRDefault="0035607A" w:rsidP="0035607A">
      <w:pPr>
        <w:jc w:val="center"/>
        <w:rPr>
          <w:i/>
          <w:sz w:val="28"/>
        </w:rPr>
      </w:pPr>
      <w:r w:rsidRPr="0035607A">
        <w:rPr>
          <w:i/>
          <w:sz w:val="28"/>
        </w:rPr>
        <w:t>(</w:t>
      </w:r>
      <w:proofErr w:type="gramStart"/>
      <w:r w:rsidRPr="0035607A">
        <w:rPr>
          <w:i/>
          <w:sz w:val="28"/>
        </w:rPr>
        <w:t>дополнительная</w:t>
      </w:r>
      <w:proofErr w:type="gramEnd"/>
      <w:r w:rsidRPr="0035607A">
        <w:rPr>
          <w:i/>
          <w:sz w:val="28"/>
        </w:rPr>
        <w:t xml:space="preserve"> тема)</w:t>
      </w:r>
    </w:p>
    <w:p w:rsidR="002F38B6" w:rsidRDefault="002F38B6" w:rsidP="002F38B6">
      <w:pPr>
        <w:ind w:left="4956"/>
        <w:rPr>
          <w:sz w:val="28"/>
        </w:rPr>
      </w:pPr>
    </w:p>
    <w:p w:rsidR="002F38B6" w:rsidRDefault="002F38B6" w:rsidP="002F38B6">
      <w:pPr>
        <w:ind w:left="4956"/>
        <w:rPr>
          <w:sz w:val="28"/>
        </w:rPr>
      </w:pP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rStyle w:val="a7"/>
          <w:b w:val="0"/>
          <w:color w:val="000000" w:themeColor="text1"/>
          <w:sz w:val="30"/>
          <w:szCs w:val="30"/>
        </w:rPr>
        <w:t>Предупреждение гибели и травматизма начинается с личной культуры участников движения</w:t>
      </w:r>
      <w:r w:rsidRPr="00E55C59">
        <w:rPr>
          <w:color w:val="000000" w:themeColor="text1"/>
          <w:sz w:val="30"/>
          <w:szCs w:val="30"/>
        </w:rPr>
        <w:t>, применения технических средств, предназначенных для обеспечения безопасности водителя, пассажиров, пешеходов.</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rStyle w:val="a7"/>
          <w:b w:val="0"/>
          <w:color w:val="000000" w:themeColor="text1"/>
          <w:sz w:val="30"/>
          <w:szCs w:val="30"/>
        </w:rPr>
        <w:t xml:space="preserve">Травматизм представляет </w:t>
      </w:r>
      <w:proofErr w:type="spellStart"/>
      <w:r w:rsidRPr="00E55C59">
        <w:rPr>
          <w:rStyle w:val="a7"/>
          <w:b w:val="0"/>
          <w:color w:val="000000" w:themeColor="text1"/>
          <w:sz w:val="30"/>
          <w:szCs w:val="30"/>
        </w:rPr>
        <w:t>серьезную</w:t>
      </w:r>
      <w:proofErr w:type="spellEnd"/>
      <w:r w:rsidRPr="00E55C59">
        <w:rPr>
          <w:rStyle w:val="a7"/>
          <w:b w:val="0"/>
          <w:color w:val="000000" w:themeColor="text1"/>
          <w:sz w:val="30"/>
          <w:szCs w:val="30"/>
        </w:rPr>
        <w:t xml:space="preserve"> угрозу для здоровья и жизни взрослых и детей.</w:t>
      </w:r>
      <w:r w:rsidRPr="00E55C59">
        <w:rPr>
          <w:color w:val="000000" w:themeColor="text1"/>
          <w:sz w:val="30"/>
          <w:szCs w:val="30"/>
        </w:rPr>
        <w:t> Ежегодно миллионы людей на планете из-за личной беспечности и неосторожности или по чьей-то преступной халатности и безответственности получают травмы, становятся инвалидами, лишаются жизни.</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color w:val="000000" w:themeColor="text1"/>
          <w:sz w:val="30"/>
          <w:szCs w:val="30"/>
        </w:rPr>
        <w:t>Из всех видов травматизма наибольшую опасность для здоровья и жизни людей представляет </w:t>
      </w:r>
      <w:r w:rsidRPr="00E55C59">
        <w:rPr>
          <w:rStyle w:val="a7"/>
          <w:b w:val="0"/>
          <w:color w:val="000000" w:themeColor="text1"/>
          <w:sz w:val="30"/>
          <w:szCs w:val="30"/>
        </w:rPr>
        <w:t>дорожно-транспортный травматизм.</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color w:val="000000" w:themeColor="text1"/>
          <w:sz w:val="30"/>
          <w:szCs w:val="30"/>
        </w:rPr>
        <w:t xml:space="preserve">Согласно данным Всемирной организации здравоохранения, ежегодно в мире в результате дорожно-транспортных происшествий (ДТП) погибает около 1,3 млн. человек, каждый пятый из них – </w:t>
      </w:r>
      <w:proofErr w:type="spellStart"/>
      <w:r w:rsidRPr="00E55C59">
        <w:rPr>
          <w:color w:val="000000" w:themeColor="text1"/>
          <w:sz w:val="30"/>
          <w:szCs w:val="30"/>
        </w:rPr>
        <w:t>ребенок</w:t>
      </w:r>
      <w:proofErr w:type="spellEnd"/>
      <w:r w:rsidRPr="00E55C59">
        <w:rPr>
          <w:color w:val="000000" w:themeColor="text1"/>
          <w:sz w:val="30"/>
          <w:szCs w:val="30"/>
        </w:rPr>
        <w:t>; от 20 до 50 млн. человек получают травмы и увечья. Для Беларуси эта проблема также актуальна. Ежегодно в нашей стране совершается свыше 5 тысяч дорожно-транспортных происшествий, в которых гибнет более тысячи человек и свыше 5 тысяч получают травмы различной степени тяжести.</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color w:val="000000" w:themeColor="text1"/>
          <w:sz w:val="30"/>
          <w:szCs w:val="30"/>
        </w:rPr>
        <w:t>Значительное количество дорожно-транспортных травм взрослые и дети получают в </w:t>
      </w:r>
      <w:r w:rsidRPr="00E55C59">
        <w:rPr>
          <w:rStyle w:val="a7"/>
          <w:b w:val="0"/>
          <w:color w:val="000000" w:themeColor="text1"/>
          <w:sz w:val="30"/>
          <w:szCs w:val="30"/>
        </w:rPr>
        <w:t>дорожных авариях и ДТП.</w:t>
      </w:r>
      <w:r w:rsidRPr="00E55C59">
        <w:rPr>
          <w:color w:val="000000" w:themeColor="text1"/>
          <w:sz w:val="30"/>
          <w:szCs w:val="30"/>
        </w:rPr>
        <w:t> При их совершении можно выделить 4 фактора: </w:t>
      </w:r>
      <w:r w:rsidRPr="00E55C59">
        <w:rPr>
          <w:rStyle w:val="a7"/>
          <w:b w:val="0"/>
          <w:color w:val="000000" w:themeColor="text1"/>
          <w:sz w:val="30"/>
          <w:szCs w:val="30"/>
        </w:rPr>
        <w:t>водитель, автомобиль, пешеход, дорога</w:t>
      </w:r>
      <w:r w:rsidRPr="00E55C59">
        <w:rPr>
          <w:color w:val="000000" w:themeColor="text1"/>
          <w:sz w:val="30"/>
          <w:szCs w:val="30"/>
        </w:rPr>
        <w:t>. В каждом происшествии действуют не менее двух из них. Самый главный фактор — </w:t>
      </w:r>
      <w:r w:rsidRPr="00E55C59">
        <w:rPr>
          <w:rStyle w:val="a7"/>
          <w:b w:val="0"/>
          <w:color w:val="000000" w:themeColor="text1"/>
          <w:sz w:val="30"/>
          <w:szCs w:val="30"/>
        </w:rPr>
        <w:t>человек</w:t>
      </w:r>
      <w:r w:rsidRPr="00E55C59">
        <w:rPr>
          <w:color w:val="000000" w:themeColor="text1"/>
          <w:sz w:val="30"/>
          <w:szCs w:val="30"/>
        </w:rPr>
        <w:t>: роль водителя и пешехода первостепенна.</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color w:val="000000" w:themeColor="text1"/>
          <w:sz w:val="30"/>
          <w:szCs w:val="30"/>
        </w:rPr>
        <w:t xml:space="preserve">Почти 11 % от общего количества </w:t>
      </w:r>
      <w:proofErr w:type="spellStart"/>
      <w:r w:rsidRPr="00E55C59">
        <w:rPr>
          <w:color w:val="000000" w:themeColor="text1"/>
          <w:sz w:val="30"/>
          <w:szCs w:val="30"/>
        </w:rPr>
        <w:t>дорожно</w:t>
      </w:r>
      <w:proofErr w:type="spellEnd"/>
      <w:r w:rsidRPr="00E55C59">
        <w:rPr>
          <w:color w:val="000000" w:themeColor="text1"/>
          <w:sz w:val="30"/>
          <w:szCs w:val="30"/>
        </w:rPr>
        <w:t>–транспортных происшествий составляют ДТП, совершаемые водителями, находящимися в состоянии алкогольного опьянения. При алкогольном опьянении у водителя снижается наблюдательность, распределение и подвижность внимания, скорость реакции, ослабляется критическое отношение к окружающему. Это приводит к переоценке своих возможностей и появлению чувства беспечности. Вероятность ДТП увеличивается в зависимости от дозы алкоголя в 3-50 раз.</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rStyle w:val="a7"/>
          <w:b w:val="0"/>
          <w:color w:val="000000" w:themeColor="text1"/>
          <w:sz w:val="30"/>
          <w:szCs w:val="30"/>
        </w:rPr>
        <w:t>Причин ДТП по вине водителей несколько</w:t>
      </w:r>
      <w:r w:rsidRPr="00E55C59">
        <w:rPr>
          <w:color w:val="000000" w:themeColor="text1"/>
          <w:sz w:val="30"/>
          <w:szCs w:val="30"/>
        </w:rPr>
        <w:t>: превышение скорости, нарушение правил проезда пешеходных переходов, нарушение правил маневрирования (обгон). Сопутствующими факторами в ряде случаев являлось неудовлетворительное состояние дорог.</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rStyle w:val="a7"/>
          <w:b w:val="0"/>
          <w:color w:val="000000" w:themeColor="text1"/>
          <w:sz w:val="30"/>
          <w:szCs w:val="30"/>
        </w:rPr>
        <w:t xml:space="preserve">Немаловажной причиной дорожного травматизма является пассажир или водитель, находящийся в транспортном средстве с не пристёгнутым </w:t>
      </w:r>
      <w:proofErr w:type="spellStart"/>
      <w:r w:rsidRPr="00E55C59">
        <w:rPr>
          <w:rStyle w:val="a7"/>
          <w:b w:val="0"/>
          <w:color w:val="000000" w:themeColor="text1"/>
          <w:sz w:val="30"/>
          <w:szCs w:val="30"/>
        </w:rPr>
        <w:t>ремнем</w:t>
      </w:r>
      <w:proofErr w:type="spellEnd"/>
      <w:r w:rsidRPr="00E55C59">
        <w:rPr>
          <w:rStyle w:val="a7"/>
          <w:b w:val="0"/>
          <w:color w:val="000000" w:themeColor="text1"/>
          <w:sz w:val="30"/>
          <w:szCs w:val="30"/>
        </w:rPr>
        <w:t xml:space="preserve"> или </w:t>
      </w:r>
      <w:r w:rsidRPr="00E55C59">
        <w:rPr>
          <w:rStyle w:val="a7"/>
          <w:b w:val="0"/>
          <w:color w:val="000000" w:themeColor="text1"/>
          <w:sz w:val="30"/>
          <w:szCs w:val="30"/>
        </w:rPr>
        <w:lastRenderedPageBreak/>
        <w:t xml:space="preserve">малолетний </w:t>
      </w:r>
      <w:proofErr w:type="spellStart"/>
      <w:r w:rsidRPr="00E55C59">
        <w:rPr>
          <w:rStyle w:val="a7"/>
          <w:b w:val="0"/>
          <w:color w:val="000000" w:themeColor="text1"/>
          <w:sz w:val="30"/>
          <w:szCs w:val="30"/>
        </w:rPr>
        <w:t>ребенок</w:t>
      </w:r>
      <w:proofErr w:type="spellEnd"/>
      <w:r w:rsidRPr="00E55C59">
        <w:rPr>
          <w:rStyle w:val="a7"/>
          <w:b w:val="0"/>
          <w:color w:val="000000" w:themeColor="text1"/>
          <w:sz w:val="30"/>
          <w:szCs w:val="30"/>
        </w:rPr>
        <w:t xml:space="preserve"> без детского удерживающегося устройства, а также сам пешеход – из-за его невнимательности, недисциплинированности, шалости у детей, рассеянности у пожилых, нарушения элементарных правил дорожного движения, перехода улиц, </w:t>
      </w:r>
      <w:proofErr w:type="spellStart"/>
      <w:r w:rsidRPr="00E55C59">
        <w:rPr>
          <w:rStyle w:val="a7"/>
          <w:b w:val="0"/>
          <w:color w:val="000000" w:themeColor="text1"/>
          <w:sz w:val="30"/>
          <w:szCs w:val="30"/>
        </w:rPr>
        <w:t>перекрестков</w:t>
      </w:r>
      <w:proofErr w:type="spellEnd"/>
      <w:r w:rsidRPr="00E55C59">
        <w:rPr>
          <w:rStyle w:val="a7"/>
          <w:b w:val="0"/>
          <w:color w:val="000000" w:themeColor="text1"/>
          <w:sz w:val="30"/>
          <w:szCs w:val="30"/>
        </w:rPr>
        <w:t xml:space="preserve"> и т.п. </w:t>
      </w:r>
      <w:r w:rsidRPr="00E55C59">
        <w:rPr>
          <w:color w:val="000000" w:themeColor="text1"/>
          <w:sz w:val="30"/>
          <w:szCs w:val="30"/>
        </w:rPr>
        <w:t>Внезапное появление перед движущимся транспортом в таких случаях приводит к трагическим последствиям.</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color w:val="000000" w:themeColor="text1"/>
          <w:sz w:val="30"/>
          <w:szCs w:val="30"/>
        </w:rPr>
        <w:t>Водитель при всем желании не успевает, не в состоянии остановить машину.</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color w:val="000000" w:themeColor="text1"/>
          <w:sz w:val="30"/>
          <w:szCs w:val="30"/>
        </w:rPr>
        <w:t xml:space="preserve">В результате дорожных аварий в таких случаях наблюдаются травмы, сопровождающиеся обширными ранениями, вывихами, переломами костей, повреждениями черепа, позвоночника, костей таза. Эти опасные для жизни состояния трудно поддаются лечению, сопровождаются длительным сроком нетрудоспособности. Часть пострадавших на всю жизнь остаются инвалидами, а нередко медицина </w:t>
      </w:r>
      <w:proofErr w:type="spellStart"/>
      <w:r w:rsidRPr="00E55C59">
        <w:rPr>
          <w:color w:val="000000" w:themeColor="text1"/>
          <w:sz w:val="30"/>
          <w:szCs w:val="30"/>
        </w:rPr>
        <w:t>остается</w:t>
      </w:r>
      <w:proofErr w:type="spellEnd"/>
      <w:r w:rsidRPr="00E55C59">
        <w:rPr>
          <w:color w:val="000000" w:themeColor="text1"/>
          <w:sz w:val="30"/>
          <w:szCs w:val="30"/>
        </w:rPr>
        <w:t xml:space="preserve"> бессильной.</w:t>
      </w:r>
    </w:p>
    <w:p w:rsidR="00E55C59" w:rsidRPr="00E55C59" w:rsidRDefault="00E55C59" w:rsidP="00E55C59">
      <w:pPr>
        <w:pStyle w:val="a6"/>
        <w:shd w:val="clear" w:color="auto" w:fill="FFFFFF"/>
        <w:spacing w:before="0" w:beforeAutospacing="0" w:after="0" w:afterAutospacing="0"/>
        <w:ind w:firstLine="709"/>
        <w:jc w:val="both"/>
        <w:rPr>
          <w:color w:val="000000" w:themeColor="text1"/>
          <w:sz w:val="30"/>
          <w:szCs w:val="30"/>
        </w:rPr>
      </w:pPr>
      <w:r w:rsidRPr="00E55C59">
        <w:rPr>
          <w:rStyle w:val="a7"/>
          <w:b w:val="0"/>
          <w:color w:val="000000" w:themeColor="text1"/>
          <w:sz w:val="30"/>
          <w:szCs w:val="30"/>
        </w:rPr>
        <w:t>Мотоциклистам</w:t>
      </w:r>
      <w:r w:rsidRPr="00E55C59">
        <w:rPr>
          <w:color w:val="000000" w:themeColor="text1"/>
          <w:sz w:val="30"/>
          <w:szCs w:val="30"/>
        </w:rPr>
        <w:t xml:space="preserve">, несмотря на использование </w:t>
      </w:r>
      <w:proofErr w:type="spellStart"/>
      <w:r w:rsidRPr="00E55C59">
        <w:rPr>
          <w:color w:val="000000" w:themeColor="text1"/>
          <w:sz w:val="30"/>
          <w:szCs w:val="30"/>
        </w:rPr>
        <w:t>жесткого</w:t>
      </w:r>
      <w:proofErr w:type="spellEnd"/>
      <w:r w:rsidRPr="00E55C59">
        <w:rPr>
          <w:color w:val="000000" w:themeColor="text1"/>
          <w:sz w:val="30"/>
          <w:szCs w:val="30"/>
        </w:rPr>
        <w:t xml:space="preserve"> шлема, при столкновении с препятствием угрожают </w:t>
      </w:r>
      <w:proofErr w:type="spellStart"/>
      <w:r w:rsidRPr="00E55C59">
        <w:rPr>
          <w:color w:val="000000" w:themeColor="text1"/>
          <w:sz w:val="30"/>
          <w:szCs w:val="30"/>
        </w:rPr>
        <w:t>тяжелые</w:t>
      </w:r>
      <w:proofErr w:type="spellEnd"/>
      <w:r w:rsidRPr="00E55C59">
        <w:rPr>
          <w:color w:val="000000" w:themeColor="text1"/>
          <w:sz w:val="30"/>
          <w:szCs w:val="30"/>
        </w:rPr>
        <w:t xml:space="preserve"> повреждения головы и шеи. При резком торможении мотоциклиста или при столкновении – мотоциклист или сидящий позади него пассажир вылетают из седла и ударяются о землю со всеми вытекающими последствиями.</w:t>
      </w:r>
    </w:p>
    <w:p w:rsidR="00E55C59" w:rsidRDefault="00E55C59" w:rsidP="00AE62C9">
      <w:pPr>
        <w:ind w:firstLine="567"/>
        <w:jc w:val="both"/>
        <w:rPr>
          <w:sz w:val="28"/>
        </w:rPr>
      </w:pPr>
    </w:p>
    <w:p w:rsidR="00AE62C9" w:rsidRPr="00AE62C9" w:rsidRDefault="00AE62C9" w:rsidP="00AE62C9">
      <w:pPr>
        <w:ind w:firstLine="567"/>
        <w:jc w:val="both"/>
        <w:rPr>
          <w:i/>
          <w:sz w:val="28"/>
        </w:rPr>
      </w:pPr>
      <w:proofErr w:type="spellStart"/>
      <w:r w:rsidRPr="00AE62C9">
        <w:rPr>
          <w:i/>
          <w:sz w:val="28"/>
        </w:rPr>
        <w:t>Справочно</w:t>
      </w:r>
      <w:proofErr w:type="spellEnd"/>
      <w:r w:rsidRPr="00AE62C9">
        <w:rPr>
          <w:i/>
          <w:sz w:val="28"/>
        </w:rPr>
        <w:t>:</w:t>
      </w:r>
    </w:p>
    <w:p w:rsidR="00AE62C9" w:rsidRPr="00AE62C9" w:rsidRDefault="00AE62C9" w:rsidP="00AE62C9">
      <w:pPr>
        <w:ind w:firstLine="567"/>
        <w:jc w:val="both"/>
        <w:rPr>
          <w:i/>
          <w:sz w:val="28"/>
        </w:rPr>
      </w:pPr>
      <w:r w:rsidRPr="00AE62C9">
        <w:rPr>
          <w:i/>
          <w:sz w:val="28"/>
        </w:rPr>
        <w:t xml:space="preserve">08 мая 2025 года около 06:05 часов водитель 1, управляя личным автомобилем Тойота </w:t>
      </w:r>
      <w:proofErr w:type="spellStart"/>
      <w:r w:rsidRPr="00AE62C9">
        <w:rPr>
          <w:i/>
          <w:sz w:val="28"/>
        </w:rPr>
        <w:t>Рав</w:t>
      </w:r>
      <w:proofErr w:type="spellEnd"/>
      <w:r w:rsidRPr="00AE62C9">
        <w:rPr>
          <w:i/>
          <w:sz w:val="28"/>
        </w:rPr>
        <w:t xml:space="preserve"> 4, на 30 км автодороги М8 «Граница РФ – Витебск – Гомель – Граница Украины» вблизи д. Малашенки, двигаясь со стороны границы РФ в сторону г. Городка, совершил выезд на полосу встречного движения, где совершил лобовое столкновение с двигавшемся во встречном направлении мопедом </w:t>
      </w:r>
      <w:proofErr w:type="spellStart"/>
      <w:r w:rsidRPr="00AE62C9">
        <w:rPr>
          <w:i/>
          <w:sz w:val="28"/>
        </w:rPr>
        <w:t>Хорс</w:t>
      </w:r>
      <w:proofErr w:type="spellEnd"/>
      <w:r w:rsidRPr="00AE62C9">
        <w:rPr>
          <w:i/>
          <w:sz w:val="28"/>
        </w:rPr>
        <w:t>-Моторс 056, без регистрационного знака, под управлением водителя 2, который от полученных травм скончался на месте ДТП.</w:t>
      </w:r>
    </w:p>
    <w:p w:rsidR="00AE62C9" w:rsidRPr="00AE62C9" w:rsidRDefault="00AE62C9" w:rsidP="00AE62C9">
      <w:pPr>
        <w:jc w:val="center"/>
        <w:rPr>
          <w:b/>
          <w:color w:val="000000"/>
          <w:sz w:val="28"/>
          <w:szCs w:val="28"/>
        </w:rPr>
      </w:pPr>
      <w:r w:rsidRPr="00AE62C9">
        <w:rPr>
          <w:color w:val="000000"/>
          <w:sz w:val="28"/>
          <w:szCs w:val="28"/>
        </w:rPr>
        <w:t>Сравнение с аналогичным периодом прошлого года:</w:t>
      </w:r>
    </w:p>
    <w:tbl>
      <w:tblPr>
        <w:tblStyle w:val="1"/>
        <w:tblW w:w="0" w:type="auto"/>
        <w:tblLook w:val="04A0" w:firstRow="1" w:lastRow="0" w:firstColumn="1" w:lastColumn="0" w:noHBand="0" w:noVBand="1"/>
      </w:tblPr>
      <w:tblGrid>
        <w:gridCol w:w="3256"/>
        <w:gridCol w:w="2313"/>
        <w:gridCol w:w="2313"/>
        <w:gridCol w:w="2313"/>
      </w:tblGrid>
      <w:tr w:rsidR="00AE62C9" w:rsidRPr="00AE62C9" w:rsidTr="002D7E16">
        <w:tc>
          <w:tcPr>
            <w:tcW w:w="3256" w:type="dxa"/>
            <w:shd w:val="clear" w:color="auto" w:fill="D9D9D9" w:themeFill="background1" w:themeFillShade="D9"/>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Критерий</w:t>
            </w:r>
          </w:p>
        </w:tc>
        <w:tc>
          <w:tcPr>
            <w:tcW w:w="2313" w:type="dxa"/>
            <w:shd w:val="clear" w:color="auto" w:fill="D9D9D9" w:themeFill="background1" w:themeFillShade="D9"/>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2024</w:t>
            </w:r>
          </w:p>
        </w:tc>
        <w:tc>
          <w:tcPr>
            <w:tcW w:w="2313" w:type="dxa"/>
            <w:shd w:val="clear" w:color="auto" w:fill="D9D9D9" w:themeFill="background1" w:themeFillShade="D9"/>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2025</w:t>
            </w:r>
          </w:p>
        </w:tc>
        <w:tc>
          <w:tcPr>
            <w:tcW w:w="2313" w:type="dxa"/>
            <w:shd w:val="clear" w:color="auto" w:fill="D9D9D9" w:themeFill="background1" w:themeFillShade="D9"/>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Разница</w:t>
            </w:r>
          </w:p>
        </w:tc>
      </w:tr>
      <w:tr w:rsidR="00AE62C9" w:rsidRPr="00AE62C9" w:rsidTr="002D7E16">
        <w:tc>
          <w:tcPr>
            <w:tcW w:w="3256" w:type="dxa"/>
            <w:shd w:val="clear" w:color="auto" w:fill="D9D9D9" w:themeFill="background1" w:themeFillShade="D9"/>
          </w:tcPr>
          <w:p w:rsidR="00AE62C9" w:rsidRPr="00AE62C9" w:rsidRDefault="00AE62C9" w:rsidP="00AE62C9">
            <w:pPr>
              <w:jc w:val="both"/>
              <w:rPr>
                <w:rFonts w:ascii="Times New Roman" w:hAnsi="Times New Roman"/>
                <w:color w:val="000000"/>
                <w:sz w:val="28"/>
                <w:szCs w:val="28"/>
              </w:rPr>
            </w:pPr>
            <w:r w:rsidRPr="00AE62C9">
              <w:rPr>
                <w:rFonts w:ascii="Times New Roman" w:hAnsi="Times New Roman"/>
                <w:color w:val="000000"/>
                <w:sz w:val="28"/>
                <w:szCs w:val="28"/>
              </w:rPr>
              <w:t>Всего</w:t>
            </w:r>
          </w:p>
        </w:tc>
        <w:tc>
          <w:tcPr>
            <w:tcW w:w="2313"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5</w:t>
            </w:r>
          </w:p>
        </w:tc>
        <w:tc>
          <w:tcPr>
            <w:tcW w:w="2313"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w:t>
            </w:r>
          </w:p>
        </w:tc>
        <w:tc>
          <w:tcPr>
            <w:tcW w:w="2313"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lang w:val="en-US"/>
              </w:rPr>
              <w:t>-</w:t>
            </w:r>
            <w:r w:rsidRPr="00AE62C9">
              <w:rPr>
                <w:rFonts w:ascii="Times New Roman" w:hAnsi="Times New Roman"/>
                <w:color w:val="000000"/>
                <w:sz w:val="28"/>
                <w:szCs w:val="28"/>
              </w:rPr>
              <w:t>4</w:t>
            </w:r>
          </w:p>
        </w:tc>
      </w:tr>
      <w:tr w:rsidR="00AE62C9" w:rsidRPr="00AE62C9" w:rsidTr="002D7E16">
        <w:tc>
          <w:tcPr>
            <w:tcW w:w="3256" w:type="dxa"/>
            <w:shd w:val="clear" w:color="auto" w:fill="D9D9D9" w:themeFill="background1" w:themeFillShade="D9"/>
          </w:tcPr>
          <w:p w:rsidR="00AE62C9" w:rsidRPr="00AE62C9" w:rsidRDefault="00AE62C9" w:rsidP="00AE62C9">
            <w:pPr>
              <w:jc w:val="both"/>
              <w:rPr>
                <w:rFonts w:ascii="Times New Roman" w:hAnsi="Times New Roman"/>
                <w:color w:val="000000"/>
                <w:sz w:val="28"/>
                <w:szCs w:val="28"/>
              </w:rPr>
            </w:pPr>
            <w:r w:rsidRPr="00AE62C9">
              <w:rPr>
                <w:rFonts w:ascii="Times New Roman" w:hAnsi="Times New Roman"/>
                <w:color w:val="000000"/>
                <w:sz w:val="28"/>
                <w:szCs w:val="28"/>
              </w:rPr>
              <w:t>Погибшие</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r>
      <w:tr w:rsidR="00AE62C9" w:rsidRPr="00AE62C9" w:rsidTr="002D7E16">
        <w:tc>
          <w:tcPr>
            <w:tcW w:w="3256" w:type="dxa"/>
            <w:shd w:val="clear" w:color="auto" w:fill="D9D9D9" w:themeFill="background1" w:themeFillShade="D9"/>
          </w:tcPr>
          <w:p w:rsidR="00AE62C9" w:rsidRPr="00AE62C9" w:rsidRDefault="00AE62C9" w:rsidP="00AE62C9">
            <w:pPr>
              <w:jc w:val="both"/>
              <w:rPr>
                <w:rFonts w:ascii="Times New Roman" w:hAnsi="Times New Roman"/>
                <w:color w:val="000000"/>
                <w:sz w:val="28"/>
                <w:szCs w:val="28"/>
              </w:rPr>
            </w:pPr>
            <w:r w:rsidRPr="00AE62C9">
              <w:rPr>
                <w:rFonts w:ascii="Times New Roman" w:hAnsi="Times New Roman"/>
                <w:color w:val="000000"/>
                <w:sz w:val="28"/>
                <w:szCs w:val="28"/>
              </w:rPr>
              <w:t>Раненые</w:t>
            </w:r>
          </w:p>
        </w:tc>
        <w:tc>
          <w:tcPr>
            <w:tcW w:w="2313" w:type="dxa"/>
            <w:shd w:val="clear" w:color="auto" w:fill="FFFFFF" w:themeFill="background1"/>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4</w:t>
            </w:r>
          </w:p>
        </w:tc>
        <w:tc>
          <w:tcPr>
            <w:tcW w:w="2313" w:type="dxa"/>
            <w:shd w:val="clear" w:color="auto" w:fill="FFFFFF" w:themeFill="background1"/>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c>
          <w:tcPr>
            <w:tcW w:w="2313" w:type="dxa"/>
            <w:shd w:val="clear" w:color="auto" w:fill="FFFFFF" w:themeFill="background1"/>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lang w:val="en-US"/>
              </w:rPr>
              <w:t>-</w:t>
            </w:r>
            <w:r w:rsidRPr="00AE62C9">
              <w:rPr>
                <w:rFonts w:ascii="Times New Roman" w:hAnsi="Times New Roman"/>
                <w:color w:val="000000"/>
                <w:sz w:val="28"/>
                <w:szCs w:val="28"/>
              </w:rPr>
              <w:t>4</w:t>
            </w:r>
          </w:p>
        </w:tc>
      </w:tr>
      <w:tr w:rsidR="00AE62C9" w:rsidRPr="00AE62C9" w:rsidTr="002D7E16">
        <w:tc>
          <w:tcPr>
            <w:tcW w:w="3256" w:type="dxa"/>
            <w:shd w:val="clear" w:color="auto" w:fill="D9D9D9" w:themeFill="background1" w:themeFillShade="D9"/>
          </w:tcPr>
          <w:p w:rsidR="00AE62C9" w:rsidRPr="00AE62C9" w:rsidRDefault="00AE62C9" w:rsidP="00AE62C9">
            <w:pPr>
              <w:jc w:val="both"/>
              <w:rPr>
                <w:rFonts w:ascii="Times New Roman" w:hAnsi="Times New Roman"/>
                <w:color w:val="000000"/>
                <w:sz w:val="28"/>
                <w:szCs w:val="28"/>
              </w:rPr>
            </w:pPr>
            <w:r w:rsidRPr="00AE62C9">
              <w:rPr>
                <w:rFonts w:ascii="Times New Roman" w:hAnsi="Times New Roman"/>
                <w:color w:val="000000"/>
                <w:sz w:val="28"/>
                <w:szCs w:val="28"/>
              </w:rPr>
              <w:t>Нетрезвые</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w:t>
            </w:r>
          </w:p>
        </w:tc>
      </w:tr>
      <w:tr w:rsidR="00AE62C9" w:rsidRPr="00AE62C9" w:rsidTr="002D7E16">
        <w:tc>
          <w:tcPr>
            <w:tcW w:w="3256" w:type="dxa"/>
            <w:shd w:val="clear" w:color="auto" w:fill="D9D9D9" w:themeFill="background1" w:themeFillShade="D9"/>
          </w:tcPr>
          <w:p w:rsidR="00AE62C9" w:rsidRPr="00AE62C9" w:rsidRDefault="00AE62C9" w:rsidP="00AE62C9">
            <w:pPr>
              <w:jc w:val="both"/>
              <w:rPr>
                <w:rFonts w:ascii="Times New Roman" w:hAnsi="Times New Roman"/>
                <w:color w:val="000000"/>
                <w:sz w:val="28"/>
                <w:szCs w:val="28"/>
              </w:rPr>
            </w:pPr>
            <w:r w:rsidRPr="00AE62C9">
              <w:rPr>
                <w:rFonts w:ascii="Times New Roman" w:hAnsi="Times New Roman"/>
                <w:color w:val="000000"/>
                <w:sz w:val="28"/>
                <w:szCs w:val="28"/>
              </w:rPr>
              <w:t>Пострадавшие дети</w:t>
            </w:r>
          </w:p>
        </w:tc>
        <w:tc>
          <w:tcPr>
            <w:tcW w:w="2313" w:type="dxa"/>
            <w:shd w:val="clear" w:color="auto" w:fill="FFFFFF" w:themeFill="background1"/>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c>
          <w:tcPr>
            <w:tcW w:w="2313" w:type="dxa"/>
            <w:shd w:val="clear" w:color="auto" w:fill="FFFFFF" w:themeFill="background1"/>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c>
          <w:tcPr>
            <w:tcW w:w="2313" w:type="dxa"/>
            <w:shd w:val="clear" w:color="auto" w:fill="FFFFFF" w:themeFill="background1"/>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r>
      <w:tr w:rsidR="00AE62C9" w:rsidRPr="00AE62C9" w:rsidTr="002D7E16">
        <w:tc>
          <w:tcPr>
            <w:tcW w:w="3256" w:type="dxa"/>
            <w:shd w:val="clear" w:color="auto" w:fill="D9D9D9" w:themeFill="background1" w:themeFillShade="D9"/>
          </w:tcPr>
          <w:p w:rsidR="00AE62C9" w:rsidRPr="00AE62C9" w:rsidRDefault="00AE62C9" w:rsidP="00AE62C9">
            <w:pPr>
              <w:jc w:val="both"/>
              <w:rPr>
                <w:rFonts w:ascii="Times New Roman" w:hAnsi="Times New Roman"/>
                <w:color w:val="000000"/>
                <w:sz w:val="28"/>
                <w:szCs w:val="28"/>
              </w:rPr>
            </w:pPr>
            <w:r w:rsidRPr="00AE62C9">
              <w:rPr>
                <w:rFonts w:ascii="Times New Roman" w:hAnsi="Times New Roman"/>
                <w:color w:val="000000"/>
                <w:sz w:val="28"/>
                <w:szCs w:val="28"/>
              </w:rPr>
              <w:t>ДТП с уязвимыми участниками ДД</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c>
          <w:tcPr>
            <w:tcW w:w="2313" w:type="dxa"/>
            <w:shd w:val="clear" w:color="auto" w:fill="D9D9D9" w:themeFill="background1" w:themeFillShade="D9"/>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w:t>
            </w:r>
          </w:p>
        </w:tc>
      </w:tr>
    </w:tbl>
    <w:p w:rsidR="00AE62C9" w:rsidRPr="00AE62C9" w:rsidRDefault="00AE62C9" w:rsidP="00AE62C9">
      <w:pPr>
        <w:jc w:val="both"/>
        <w:rPr>
          <w:color w:val="000000"/>
          <w:sz w:val="28"/>
          <w:szCs w:val="28"/>
        </w:rPr>
      </w:pPr>
    </w:p>
    <w:tbl>
      <w:tblPr>
        <w:tblStyle w:val="1"/>
        <w:tblW w:w="0" w:type="auto"/>
        <w:tblLook w:val="04A0" w:firstRow="1" w:lastRow="0" w:firstColumn="1" w:lastColumn="0" w:noHBand="0" w:noVBand="1"/>
      </w:tblPr>
      <w:tblGrid>
        <w:gridCol w:w="1699"/>
        <w:gridCol w:w="1699"/>
        <w:gridCol w:w="1699"/>
        <w:gridCol w:w="1699"/>
        <w:gridCol w:w="1699"/>
        <w:gridCol w:w="1700"/>
      </w:tblGrid>
      <w:tr w:rsidR="00AE62C9" w:rsidRPr="00AE62C9" w:rsidTr="002D7E16">
        <w:tc>
          <w:tcPr>
            <w:tcW w:w="1699" w:type="dxa"/>
            <w:vAlign w:val="center"/>
          </w:tcPr>
          <w:p w:rsidR="00AE62C9" w:rsidRPr="00AE62C9" w:rsidRDefault="00AE62C9" w:rsidP="00AE62C9">
            <w:pPr>
              <w:jc w:val="center"/>
              <w:rPr>
                <w:rFonts w:ascii="Times New Roman" w:hAnsi="Times New Roman"/>
                <w:color w:val="000000"/>
                <w:sz w:val="28"/>
                <w:szCs w:val="28"/>
              </w:rPr>
            </w:pP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2021</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2022</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2023</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2024</w:t>
            </w:r>
          </w:p>
        </w:tc>
        <w:tc>
          <w:tcPr>
            <w:tcW w:w="1700"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2025</w:t>
            </w:r>
          </w:p>
        </w:tc>
      </w:tr>
      <w:tr w:rsidR="00AE62C9" w:rsidRPr="00AE62C9" w:rsidTr="002D7E16">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Всего ДТП</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9</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6</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5</w:t>
            </w:r>
          </w:p>
        </w:tc>
        <w:tc>
          <w:tcPr>
            <w:tcW w:w="1700"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w:t>
            </w:r>
          </w:p>
        </w:tc>
      </w:tr>
      <w:tr w:rsidR="00AE62C9" w:rsidRPr="00AE62C9" w:rsidTr="002D7E16">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Погибло</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2</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w:t>
            </w:r>
          </w:p>
        </w:tc>
        <w:tc>
          <w:tcPr>
            <w:tcW w:w="1700"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w:t>
            </w:r>
          </w:p>
        </w:tc>
      </w:tr>
      <w:tr w:rsidR="00AE62C9" w:rsidRPr="00AE62C9" w:rsidTr="002D7E16">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Ранено</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10</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6</w:t>
            </w:r>
          </w:p>
        </w:tc>
        <w:tc>
          <w:tcPr>
            <w:tcW w:w="1699" w:type="dxa"/>
            <w:vAlign w:val="center"/>
          </w:tcPr>
          <w:p w:rsidR="00AE62C9" w:rsidRPr="00AE62C9" w:rsidRDefault="00AE62C9" w:rsidP="00AE62C9">
            <w:pPr>
              <w:jc w:val="center"/>
              <w:rPr>
                <w:rFonts w:ascii="Times New Roman" w:hAnsi="Times New Roman"/>
                <w:color w:val="000000"/>
                <w:sz w:val="28"/>
                <w:szCs w:val="28"/>
                <w:lang w:val="en-US"/>
              </w:rPr>
            </w:pPr>
            <w:r w:rsidRPr="00AE62C9">
              <w:rPr>
                <w:rFonts w:ascii="Times New Roman" w:hAnsi="Times New Roman"/>
                <w:color w:val="000000"/>
                <w:sz w:val="28"/>
                <w:szCs w:val="28"/>
                <w:lang w:val="en-US"/>
              </w:rPr>
              <w:t>2</w:t>
            </w:r>
          </w:p>
        </w:tc>
        <w:tc>
          <w:tcPr>
            <w:tcW w:w="1699"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4</w:t>
            </w:r>
          </w:p>
        </w:tc>
        <w:tc>
          <w:tcPr>
            <w:tcW w:w="1700" w:type="dxa"/>
            <w:vAlign w:val="center"/>
          </w:tcPr>
          <w:p w:rsidR="00AE62C9" w:rsidRPr="00AE62C9" w:rsidRDefault="00AE62C9" w:rsidP="00AE62C9">
            <w:pPr>
              <w:jc w:val="center"/>
              <w:rPr>
                <w:rFonts w:ascii="Times New Roman" w:hAnsi="Times New Roman"/>
                <w:color w:val="000000"/>
                <w:sz w:val="28"/>
                <w:szCs w:val="28"/>
              </w:rPr>
            </w:pPr>
            <w:r w:rsidRPr="00AE62C9">
              <w:rPr>
                <w:rFonts w:ascii="Times New Roman" w:hAnsi="Times New Roman"/>
                <w:color w:val="000000"/>
                <w:sz w:val="28"/>
                <w:szCs w:val="28"/>
              </w:rPr>
              <w:t>0</w:t>
            </w:r>
          </w:p>
        </w:tc>
      </w:tr>
    </w:tbl>
    <w:p w:rsidR="00AE62C9" w:rsidRDefault="00AE62C9" w:rsidP="0062576C">
      <w:pPr>
        <w:rPr>
          <w:sz w:val="28"/>
        </w:rPr>
      </w:pPr>
    </w:p>
    <w:p w:rsidR="00AE62C9" w:rsidRPr="00BB3C13" w:rsidRDefault="00BB3C13" w:rsidP="00BB3C13">
      <w:pPr>
        <w:widowControl w:val="0"/>
        <w:tabs>
          <w:tab w:val="left" w:pos="567"/>
        </w:tabs>
        <w:contextualSpacing/>
        <w:jc w:val="both"/>
        <w:rPr>
          <w:bCs/>
          <w:sz w:val="28"/>
          <w:szCs w:val="28"/>
        </w:rPr>
      </w:pPr>
      <w:r>
        <w:rPr>
          <w:b/>
          <w:bCs/>
          <w:sz w:val="28"/>
          <w:szCs w:val="28"/>
        </w:rPr>
        <w:tab/>
      </w:r>
      <w:r w:rsidRPr="00BB3C13">
        <w:rPr>
          <w:bCs/>
          <w:sz w:val="28"/>
          <w:szCs w:val="28"/>
        </w:rPr>
        <w:t>В целях исключения внешних факторов совершения ДТП, ОГАИ Городокского РОВД, во взаимодействии с дорожными организациями района</w:t>
      </w:r>
      <w:r>
        <w:rPr>
          <w:bCs/>
          <w:sz w:val="28"/>
          <w:szCs w:val="28"/>
        </w:rPr>
        <w:t>,</w:t>
      </w:r>
      <w:r w:rsidRPr="00BB3C13">
        <w:rPr>
          <w:bCs/>
          <w:sz w:val="28"/>
          <w:szCs w:val="28"/>
        </w:rPr>
        <w:t xml:space="preserve"> </w:t>
      </w:r>
      <w:r>
        <w:rPr>
          <w:bCs/>
          <w:sz w:val="28"/>
          <w:szCs w:val="28"/>
        </w:rPr>
        <w:t>осуществлены</w:t>
      </w:r>
      <w:r w:rsidR="00AE62C9" w:rsidRPr="00BB3C13">
        <w:rPr>
          <w:bCs/>
          <w:sz w:val="28"/>
          <w:szCs w:val="28"/>
        </w:rPr>
        <w:t xml:space="preserve"> </w:t>
      </w:r>
      <w:r>
        <w:rPr>
          <w:bCs/>
          <w:sz w:val="28"/>
          <w:szCs w:val="28"/>
        </w:rPr>
        <w:t xml:space="preserve">технические </w:t>
      </w:r>
      <w:r w:rsidR="00AE62C9" w:rsidRPr="00BB3C13">
        <w:rPr>
          <w:bCs/>
          <w:sz w:val="28"/>
          <w:szCs w:val="28"/>
        </w:rPr>
        <w:t>мероприятия по повышению безопасности дорожного движения:</w:t>
      </w:r>
    </w:p>
    <w:p w:rsidR="00AE62C9" w:rsidRPr="00240433" w:rsidRDefault="00AE62C9" w:rsidP="00AE62C9">
      <w:pPr>
        <w:widowControl w:val="0"/>
        <w:tabs>
          <w:tab w:val="left" w:pos="567"/>
        </w:tabs>
        <w:contextualSpacing/>
        <w:jc w:val="center"/>
        <w:rPr>
          <w:b/>
          <w:bCs/>
          <w:sz w:val="28"/>
          <w:szCs w:val="28"/>
        </w:rPr>
      </w:pPr>
    </w:p>
    <w:p w:rsidR="00AE62C9" w:rsidRDefault="00AE62C9" w:rsidP="00AE62C9">
      <w:pPr>
        <w:widowControl w:val="0"/>
        <w:tabs>
          <w:tab w:val="left" w:pos="567"/>
        </w:tabs>
        <w:contextualSpacing/>
        <w:jc w:val="center"/>
        <w:rPr>
          <w:bCs/>
          <w:sz w:val="28"/>
          <w:szCs w:val="28"/>
        </w:rPr>
      </w:pPr>
      <w:r>
        <w:rPr>
          <w:bCs/>
          <w:sz w:val="28"/>
          <w:szCs w:val="28"/>
        </w:rPr>
        <w:lastRenderedPageBreak/>
        <w:t>Мероприятия по повышению безопасности дорожного движения на улично-дорожной сети Городокского района на 2025 год:</w:t>
      </w:r>
    </w:p>
    <w:tbl>
      <w:tblPr>
        <w:tblStyle w:val="a5"/>
        <w:tblW w:w="0" w:type="auto"/>
        <w:tblLook w:val="04A0" w:firstRow="1" w:lastRow="0" w:firstColumn="1" w:lastColumn="0" w:noHBand="0" w:noVBand="1"/>
      </w:tblPr>
      <w:tblGrid>
        <w:gridCol w:w="532"/>
        <w:gridCol w:w="9663"/>
      </w:tblGrid>
      <w:tr w:rsidR="00AE62C9" w:rsidTr="00E55C59">
        <w:tc>
          <w:tcPr>
            <w:tcW w:w="10195" w:type="dxa"/>
            <w:gridSpan w:val="2"/>
            <w:vAlign w:val="center"/>
          </w:tcPr>
          <w:p w:rsidR="00AE62C9" w:rsidRDefault="00AE62C9" w:rsidP="002D7E16">
            <w:pPr>
              <w:widowControl w:val="0"/>
              <w:tabs>
                <w:tab w:val="left" w:pos="567"/>
              </w:tabs>
              <w:contextualSpacing/>
              <w:jc w:val="center"/>
              <w:rPr>
                <w:bCs/>
                <w:sz w:val="28"/>
                <w:szCs w:val="28"/>
              </w:rPr>
            </w:pPr>
            <w:r>
              <w:rPr>
                <w:bCs/>
                <w:sz w:val="28"/>
                <w:szCs w:val="28"/>
              </w:rPr>
              <w:t>1 квартал</w:t>
            </w:r>
          </w:p>
        </w:tc>
      </w:tr>
      <w:tr w:rsidR="00E55C59" w:rsidTr="001A633E">
        <w:tc>
          <w:tcPr>
            <w:tcW w:w="532" w:type="dxa"/>
            <w:vAlign w:val="center"/>
          </w:tcPr>
          <w:p w:rsidR="00E55C59" w:rsidRDefault="00E55C59" w:rsidP="002D7E16">
            <w:pPr>
              <w:widowControl w:val="0"/>
              <w:tabs>
                <w:tab w:val="left" w:pos="567"/>
              </w:tabs>
              <w:contextualSpacing/>
              <w:jc w:val="center"/>
              <w:rPr>
                <w:bCs/>
                <w:sz w:val="28"/>
                <w:szCs w:val="28"/>
              </w:rPr>
            </w:pPr>
            <w:r>
              <w:rPr>
                <w:bCs/>
                <w:sz w:val="28"/>
                <w:szCs w:val="28"/>
              </w:rPr>
              <w:t>1</w:t>
            </w:r>
          </w:p>
        </w:tc>
        <w:tc>
          <w:tcPr>
            <w:tcW w:w="9663" w:type="dxa"/>
            <w:vAlign w:val="center"/>
          </w:tcPr>
          <w:p w:rsidR="00E55C59" w:rsidRDefault="00E55C59" w:rsidP="002D7E16">
            <w:pPr>
              <w:widowControl w:val="0"/>
              <w:tabs>
                <w:tab w:val="left" w:pos="567"/>
              </w:tabs>
              <w:contextualSpacing/>
              <w:rPr>
                <w:bCs/>
                <w:sz w:val="28"/>
                <w:szCs w:val="28"/>
              </w:rPr>
            </w:pPr>
            <w:r>
              <w:rPr>
                <w:bCs/>
                <w:sz w:val="28"/>
                <w:szCs w:val="28"/>
              </w:rPr>
              <w:t xml:space="preserve">Установка наружного освещения вблизи нерегулируемых пешеходных переходов ул. Новая, ул. Красноармейская, ул. Вокзальная. </w:t>
            </w:r>
          </w:p>
          <w:p w:rsidR="00E55C59" w:rsidRDefault="00E55C59" w:rsidP="002D7E16">
            <w:pPr>
              <w:widowControl w:val="0"/>
              <w:tabs>
                <w:tab w:val="left" w:pos="567"/>
              </w:tabs>
              <w:contextualSpacing/>
              <w:jc w:val="center"/>
              <w:rPr>
                <w:bCs/>
                <w:sz w:val="28"/>
                <w:szCs w:val="28"/>
              </w:rPr>
            </w:pPr>
          </w:p>
        </w:tc>
      </w:tr>
      <w:tr w:rsidR="00AE62C9" w:rsidTr="00E55C59">
        <w:tc>
          <w:tcPr>
            <w:tcW w:w="10195" w:type="dxa"/>
            <w:gridSpan w:val="2"/>
            <w:vAlign w:val="center"/>
          </w:tcPr>
          <w:p w:rsidR="00AE62C9" w:rsidRDefault="00AE62C9" w:rsidP="002D7E16">
            <w:pPr>
              <w:widowControl w:val="0"/>
              <w:tabs>
                <w:tab w:val="left" w:pos="567"/>
              </w:tabs>
              <w:contextualSpacing/>
              <w:jc w:val="center"/>
              <w:rPr>
                <w:bCs/>
                <w:sz w:val="28"/>
                <w:szCs w:val="28"/>
              </w:rPr>
            </w:pPr>
            <w:r>
              <w:rPr>
                <w:bCs/>
                <w:sz w:val="28"/>
                <w:szCs w:val="28"/>
              </w:rPr>
              <w:t>2 квартал</w:t>
            </w:r>
          </w:p>
        </w:tc>
      </w:tr>
      <w:tr w:rsidR="00E55C59" w:rsidTr="00A86F3E">
        <w:tc>
          <w:tcPr>
            <w:tcW w:w="532" w:type="dxa"/>
            <w:vAlign w:val="center"/>
          </w:tcPr>
          <w:p w:rsidR="00E55C59" w:rsidRDefault="00E55C59" w:rsidP="002D7E16">
            <w:pPr>
              <w:widowControl w:val="0"/>
              <w:tabs>
                <w:tab w:val="left" w:pos="567"/>
              </w:tabs>
              <w:contextualSpacing/>
              <w:jc w:val="center"/>
              <w:rPr>
                <w:bCs/>
                <w:sz w:val="28"/>
                <w:szCs w:val="28"/>
              </w:rPr>
            </w:pPr>
            <w:r>
              <w:rPr>
                <w:bCs/>
                <w:sz w:val="28"/>
                <w:szCs w:val="28"/>
              </w:rPr>
              <w:t>2</w:t>
            </w:r>
          </w:p>
        </w:tc>
        <w:tc>
          <w:tcPr>
            <w:tcW w:w="9663" w:type="dxa"/>
            <w:vAlign w:val="center"/>
          </w:tcPr>
          <w:p w:rsidR="00E55C59" w:rsidRDefault="00E55C59" w:rsidP="002D7E16">
            <w:pPr>
              <w:widowControl w:val="0"/>
              <w:tabs>
                <w:tab w:val="left" w:pos="567"/>
              </w:tabs>
              <w:contextualSpacing/>
              <w:rPr>
                <w:bCs/>
                <w:sz w:val="28"/>
                <w:szCs w:val="28"/>
              </w:rPr>
            </w:pPr>
            <w:r>
              <w:rPr>
                <w:bCs/>
                <w:sz w:val="28"/>
                <w:szCs w:val="28"/>
              </w:rPr>
              <w:t>Устройство искусственной неровности ИН2 с установкой дорожных знаков 5.16.1 и 5ю16.2 а/д Н2501 Быки-</w:t>
            </w:r>
            <w:proofErr w:type="spellStart"/>
            <w:r>
              <w:rPr>
                <w:bCs/>
                <w:sz w:val="28"/>
                <w:szCs w:val="28"/>
              </w:rPr>
              <w:t>Козьяны</w:t>
            </w:r>
            <w:proofErr w:type="spellEnd"/>
            <w:r>
              <w:rPr>
                <w:bCs/>
                <w:sz w:val="28"/>
                <w:szCs w:val="28"/>
              </w:rPr>
              <w:t>-</w:t>
            </w:r>
            <w:proofErr w:type="spellStart"/>
            <w:r>
              <w:rPr>
                <w:bCs/>
                <w:sz w:val="28"/>
                <w:szCs w:val="28"/>
              </w:rPr>
              <w:t>Оболь</w:t>
            </w:r>
            <w:proofErr w:type="spellEnd"/>
            <w:r>
              <w:rPr>
                <w:bCs/>
                <w:sz w:val="28"/>
                <w:szCs w:val="28"/>
              </w:rPr>
              <w:t xml:space="preserve"> (вблизи храма) </w:t>
            </w:r>
          </w:p>
          <w:p w:rsidR="00E55C59" w:rsidRDefault="00E55C59" w:rsidP="002D7E16">
            <w:pPr>
              <w:widowControl w:val="0"/>
              <w:tabs>
                <w:tab w:val="left" w:pos="567"/>
              </w:tabs>
              <w:contextualSpacing/>
              <w:jc w:val="center"/>
              <w:rPr>
                <w:bCs/>
                <w:sz w:val="28"/>
                <w:szCs w:val="28"/>
              </w:rPr>
            </w:pPr>
          </w:p>
        </w:tc>
      </w:tr>
      <w:tr w:rsidR="00AE62C9" w:rsidTr="00E55C59">
        <w:tc>
          <w:tcPr>
            <w:tcW w:w="10195" w:type="dxa"/>
            <w:gridSpan w:val="2"/>
            <w:vAlign w:val="center"/>
          </w:tcPr>
          <w:p w:rsidR="00AE62C9" w:rsidRDefault="00AE62C9" w:rsidP="002D7E16">
            <w:pPr>
              <w:widowControl w:val="0"/>
              <w:tabs>
                <w:tab w:val="left" w:pos="567"/>
              </w:tabs>
              <w:contextualSpacing/>
              <w:jc w:val="center"/>
              <w:rPr>
                <w:bCs/>
                <w:sz w:val="28"/>
                <w:szCs w:val="28"/>
              </w:rPr>
            </w:pPr>
            <w:r>
              <w:rPr>
                <w:bCs/>
                <w:sz w:val="28"/>
                <w:szCs w:val="28"/>
              </w:rPr>
              <w:t>3 квартал</w:t>
            </w:r>
          </w:p>
        </w:tc>
      </w:tr>
      <w:tr w:rsidR="00E55C59" w:rsidTr="00BE776D">
        <w:tc>
          <w:tcPr>
            <w:tcW w:w="532" w:type="dxa"/>
            <w:vAlign w:val="center"/>
          </w:tcPr>
          <w:p w:rsidR="00E55C59" w:rsidRDefault="00E55C59" w:rsidP="002D7E16">
            <w:pPr>
              <w:widowControl w:val="0"/>
              <w:tabs>
                <w:tab w:val="left" w:pos="567"/>
              </w:tabs>
              <w:contextualSpacing/>
              <w:jc w:val="center"/>
              <w:rPr>
                <w:bCs/>
                <w:sz w:val="28"/>
                <w:szCs w:val="28"/>
              </w:rPr>
            </w:pPr>
            <w:r>
              <w:rPr>
                <w:bCs/>
                <w:sz w:val="28"/>
                <w:szCs w:val="28"/>
              </w:rPr>
              <w:t>3</w:t>
            </w:r>
          </w:p>
        </w:tc>
        <w:tc>
          <w:tcPr>
            <w:tcW w:w="9663" w:type="dxa"/>
            <w:vAlign w:val="center"/>
          </w:tcPr>
          <w:p w:rsidR="00E55C59" w:rsidRDefault="00E55C59" w:rsidP="002D7E16">
            <w:pPr>
              <w:widowControl w:val="0"/>
              <w:tabs>
                <w:tab w:val="left" w:pos="567"/>
              </w:tabs>
              <w:contextualSpacing/>
              <w:rPr>
                <w:bCs/>
                <w:sz w:val="28"/>
                <w:szCs w:val="28"/>
              </w:rPr>
            </w:pPr>
            <w:r>
              <w:rPr>
                <w:bCs/>
                <w:sz w:val="28"/>
                <w:szCs w:val="28"/>
              </w:rPr>
              <w:t xml:space="preserve">Установка дорожных знаков 1.25 Дикие животные с дополнительной информационной табличкой а/д М8 8 и 39 км </w:t>
            </w:r>
          </w:p>
          <w:p w:rsidR="00E55C59" w:rsidRDefault="00E55C59" w:rsidP="002D7E16">
            <w:pPr>
              <w:widowControl w:val="0"/>
              <w:tabs>
                <w:tab w:val="left" w:pos="567"/>
              </w:tabs>
              <w:contextualSpacing/>
              <w:jc w:val="center"/>
              <w:rPr>
                <w:bCs/>
                <w:sz w:val="28"/>
                <w:szCs w:val="28"/>
              </w:rPr>
            </w:pPr>
          </w:p>
        </w:tc>
      </w:tr>
    </w:tbl>
    <w:p w:rsidR="00AE62C9" w:rsidRDefault="00AE62C9" w:rsidP="00AE62C9">
      <w:pPr>
        <w:widowControl w:val="0"/>
        <w:tabs>
          <w:tab w:val="left" w:pos="567"/>
        </w:tabs>
        <w:contextualSpacing/>
        <w:jc w:val="center"/>
        <w:rPr>
          <w:bCs/>
          <w:sz w:val="28"/>
          <w:szCs w:val="28"/>
        </w:rPr>
      </w:pPr>
    </w:p>
    <w:p w:rsidR="00AE62C9" w:rsidRDefault="00AE62C9" w:rsidP="00AE62C9">
      <w:pPr>
        <w:widowControl w:val="0"/>
        <w:tabs>
          <w:tab w:val="left" w:pos="567"/>
        </w:tabs>
        <w:contextualSpacing/>
        <w:jc w:val="center"/>
        <w:rPr>
          <w:bCs/>
          <w:sz w:val="28"/>
          <w:szCs w:val="28"/>
        </w:rPr>
      </w:pPr>
      <w:r>
        <w:rPr>
          <w:bCs/>
          <w:sz w:val="28"/>
          <w:szCs w:val="28"/>
        </w:rPr>
        <w:t>Мероприятия в рамках структурной программы «Безопасный двор»</w:t>
      </w:r>
    </w:p>
    <w:tbl>
      <w:tblPr>
        <w:tblStyle w:val="a5"/>
        <w:tblW w:w="10201" w:type="dxa"/>
        <w:tblLook w:val="04A0" w:firstRow="1" w:lastRow="0" w:firstColumn="1" w:lastColumn="0" w:noHBand="0" w:noVBand="1"/>
      </w:tblPr>
      <w:tblGrid>
        <w:gridCol w:w="532"/>
        <w:gridCol w:w="9669"/>
      </w:tblGrid>
      <w:tr w:rsidR="00E55C59" w:rsidTr="00E55C59">
        <w:tc>
          <w:tcPr>
            <w:tcW w:w="532" w:type="dxa"/>
            <w:vAlign w:val="center"/>
          </w:tcPr>
          <w:p w:rsidR="00E55C59" w:rsidRDefault="00E55C59" w:rsidP="002D7E16">
            <w:pPr>
              <w:widowControl w:val="0"/>
              <w:tabs>
                <w:tab w:val="left" w:pos="567"/>
              </w:tabs>
              <w:contextualSpacing/>
              <w:jc w:val="center"/>
              <w:rPr>
                <w:bCs/>
                <w:sz w:val="28"/>
                <w:szCs w:val="28"/>
              </w:rPr>
            </w:pPr>
            <w:r>
              <w:rPr>
                <w:bCs/>
                <w:sz w:val="28"/>
                <w:szCs w:val="28"/>
              </w:rPr>
              <w:t>1</w:t>
            </w:r>
          </w:p>
        </w:tc>
        <w:tc>
          <w:tcPr>
            <w:tcW w:w="9669" w:type="dxa"/>
            <w:vAlign w:val="center"/>
          </w:tcPr>
          <w:p w:rsidR="00E55C59" w:rsidRDefault="00E55C59" w:rsidP="00E55C59">
            <w:pPr>
              <w:widowControl w:val="0"/>
              <w:tabs>
                <w:tab w:val="left" w:pos="567"/>
              </w:tabs>
              <w:contextualSpacing/>
              <w:rPr>
                <w:bCs/>
                <w:sz w:val="28"/>
                <w:szCs w:val="28"/>
              </w:rPr>
            </w:pPr>
            <w:r>
              <w:rPr>
                <w:bCs/>
                <w:sz w:val="28"/>
                <w:szCs w:val="28"/>
              </w:rPr>
              <w:t xml:space="preserve">Устройство ограждения детской игровой площадки во дворе д.52 по ул. Комсомольской в г. Городке. </w:t>
            </w:r>
          </w:p>
        </w:tc>
      </w:tr>
      <w:tr w:rsidR="00E55C59" w:rsidTr="00E55C59">
        <w:tc>
          <w:tcPr>
            <w:tcW w:w="532" w:type="dxa"/>
            <w:vAlign w:val="center"/>
          </w:tcPr>
          <w:p w:rsidR="00E55C59" w:rsidRDefault="00E55C59" w:rsidP="002D7E16">
            <w:pPr>
              <w:widowControl w:val="0"/>
              <w:tabs>
                <w:tab w:val="left" w:pos="567"/>
              </w:tabs>
              <w:contextualSpacing/>
              <w:jc w:val="center"/>
              <w:rPr>
                <w:bCs/>
                <w:sz w:val="28"/>
                <w:szCs w:val="28"/>
              </w:rPr>
            </w:pPr>
            <w:r>
              <w:rPr>
                <w:bCs/>
                <w:sz w:val="28"/>
                <w:szCs w:val="28"/>
              </w:rPr>
              <w:t>2</w:t>
            </w:r>
          </w:p>
        </w:tc>
        <w:tc>
          <w:tcPr>
            <w:tcW w:w="9669" w:type="dxa"/>
            <w:vAlign w:val="center"/>
          </w:tcPr>
          <w:p w:rsidR="00E55C59" w:rsidRDefault="00E55C59" w:rsidP="00E55C59">
            <w:pPr>
              <w:widowControl w:val="0"/>
              <w:tabs>
                <w:tab w:val="left" w:pos="567"/>
              </w:tabs>
              <w:contextualSpacing/>
              <w:rPr>
                <w:bCs/>
                <w:sz w:val="28"/>
                <w:szCs w:val="28"/>
              </w:rPr>
            </w:pPr>
            <w:r>
              <w:rPr>
                <w:bCs/>
                <w:sz w:val="28"/>
                <w:szCs w:val="28"/>
              </w:rPr>
              <w:t xml:space="preserve">Устройство ограждения детской игровой площадки во дворе ул. </w:t>
            </w:r>
            <w:proofErr w:type="spellStart"/>
            <w:r>
              <w:rPr>
                <w:bCs/>
                <w:sz w:val="28"/>
                <w:szCs w:val="28"/>
              </w:rPr>
              <w:t>Агроснабовской</w:t>
            </w:r>
            <w:proofErr w:type="spellEnd"/>
            <w:r>
              <w:rPr>
                <w:bCs/>
                <w:sz w:val="28"/>
                <w:szCs w:val="28"/>
              </w:rPr>
              <w:t xml:space="preserve"> в </w:t>
            </w:r>
            <w:proofErr w:type="spellStart"/>
            <w:r>
              <w:rPr>
                <w:bCs/>
                <w:sz w:val="28"/>
                <w:szCs w:val="28"/>
              </w:rPr>
              <w:t>аг</w:t>
            </w:r>
            <w:proofErr w:type="spellEnd"/>
            <w:r>
              <w:rPr>
                <w:bCs/>
                <w:sz w:val="28"/>
                <w:szCs w:val="28"/>
              </w:rPr>
              <w:t xml:space="preserve">. </w:t>
            </w:r>
            <w:proofErr w:type="spellStart"/>
            <w:r>
              <w:rPr>
                <w:bCs/>
                <w:sz w:val="28"/>
                <w:szCs w:val="28"/>
              </w:rPr>
              <w:t>Веремеевка</w:t>
            </w:r>
            <w:proofErr w:type="spellEnd"/>
            <w:r>
              <w:rPr>
                <w:bCs/>
                <w:sz w:val="28"/>
                <w:szCs w:val="28"/>
              </w:rPr>
              <w:t xml:space="preserve"> </w:t>
            </w:r>
          </w:p>
        </w:tc>
      </w:tr>
      <w:tr w:rsidR="00E55C59" w:rsidTr="00E55C59">
        <w:tc>
          <w:tcPr>
            <w:tcW w:w="532" w:type="dxa"/>
            <w:vAlign w:val="center"/>
          </w:tcPr>
          <w:p w:rsidR="00E55C59" w:rsidRDefault="00E55C59" w:rsidP="002D7E16">
            <w:pPr>
              <w:widowControl w:val="0"/>
              <w:tabs>
                <w:tab w:val="left" w:pos="567"/>
              </w:tabs>
              <w:contextualSpacing/>
              <w:jc w:val="center"/>
              <w:rPr>
                <w:bCs/>
                <w:sz w:val="28"/>
                <w:szCs w:val="28"/>
              </w:rPr>
            </w:pPr>
            <w:r>
              <w:rPr>
                <w:bCs/>
                <w:sz w:val="28"/>
                <w:szCs w:val="28"/>
              </w:rPr>
              <w:t>3</w:t>
            </w:r>
          </w:p>
        </w:tc>
        <w:tc>
          <w:tcPr>
            <w:tcW w:w="9669" w:type="dxa"/>
            <w:vAlign w:val="center"/>
          </w:tcPr>
          <w:p w:rsidR="00E55C59" w:rsidRDefault="00E55C59" w:rsidP="00E55C59">
            <w:pPr>
              <w:widowControl w:val="0"/>
              <w:tabs>
                <w:tab w:val="left" w:pos="567"/>
              </w:tabs>
              <w:contextualSpacing/>
              <w:rPr>
                <w:bCs/>
                <w:sz w:val="28"/>
                <w:szCs w:val="28"/>
              </w:rPr>
            </w:pPr>
            <w:r>
              <w:rPr>
                <w:bCs/>
                <w:sz w:val="28"/>
                <w:szCs w:val="28"/>
              </w:rPr>
              <w:t xml:space="preserve">Устройство искусственной неровности ИН1 по ул. </w:t>
            </w:r>
            <w:proofErr w:type="spellStart"/>
            <w:r>
              <w:rPr>
                <w:bCs/>
                <w:sz w:val="28"/>
                <w:szCs w:val="28"/>
              </w:rPr>
              <w:t>Агроснабовской</w:t>
            </w:r>
            <w:proofErr w:type="spellEnd"/>
            <w:r>
              <w:rPr>
                <w:bCs/>
                <w:sz w:val="28"/>
                <w:szCs w:val="28"/>
              </w:rPr>
              <w:t xml:space="preserve"> в </w:t>
            </w:r>
            <w:proofErr w:type="spellStart"/>
            <w:r>
              <w:rPr>
                <w:bCs/>
                <w:sz w:val="28"/>
                <w:szCs w:val="28"/>
              </w:rPr>
              <w:t>аг</w:t>
            </w:r>
            <w:proofErr w:type="spellEnd"/>
            <w:r>
              <w:rPr>
                <w:bCs/>
                <w:sz w:val="28"/>
                <w:szCs w:val="28"/>
              </w:rPr>
              <w:t xml:space="preserve">. </w:t>
            </w:r>
            <w:proofErr w:type="spellStart"/>
            <w:r>
              <w:rPr>
                <w:bCs/>
                <w:sz w:val="28"/>
                <w:szCs w:val="28"/>
              </w:rPr>
              <w:t>Веремеевка</w:t>
            </w:r>
            <w:proofErr w:type="spellEnd"/>
            <w:r>
              <w:rPr>
                <w:bCs/>
                <w:sz w:val="28"/>
                <w:szCs w:val="28"/>
              </w:rPr>
              <w:t xml:space="preserve"> </w:t>
            </w:r>
          </w:p>
        </w:tc>
      </w:tr>
    </w:tbl>
    <w:p w:rsidR="00AE62C9" w:rsidRDefault="00AE62C9" w:rsidP="00AE62C9">
      <w:pPr>
        <w:widowControl w:val="0"/>
        <w:tabs>
          <w:tab w:val="left" w:pos="567"/>
        </w:tabs>
        <w:contextualSpacing/>
        <w:jc w:val="center"/>
        <w:rPr>
          <w:bCs/>
          <w:sz w:val="28"/>
          <w:szCs w:val="28"/>
        </w:rPr>
      </w:pPr>
    </w:p>
    <w:p w:rsidR="00AE62C9" w:rsidRDefault="00AE62C9" w:rsidP="00AE62C9">
      <w:pPr>
        <w:widowControl w:val="0"/>
        <w:tabs>
          <w:tab w:val="left" w:pos="567"/>
        </w:tabs>
        <w:contextualSpacing/>
        <w:jc w:val="center"/>
        <w:rPr>
          <w:bCs/>
          <w:sz w:val="28"/>
          <w:szCs w:val="28"/>
        </w:rPr>
      </w:pPr>
      <w:r>
        <w:rPr>
          <w:bCs/>
          <w:sz w:val="28"/>
          <w:szCs w:val="28"/>
        </w:rPr>
        <w:t>Мероприятия в рамках развития велосипедного движения</w:t>
      </w:r>
    </w:p>
    <w:tbl>
      <w:tblPr>
        <w:tblStyle w:val="a5"/>
        <w:tblW w:w="0" w:type="auto"/>
        <w:tblLook w:val="04A0" w:firstRow="1" w:lastRow="0" w:firstColumn="1" w:lastColumn="0" w:noHBand="0" w:noVBand="1"/>
      </w:tblPr>
      <w:tblGrid>
        <w:gridCol w:w="532"/>
        <w:gridCol w:w="9663"/>
      </w:tblGrid>
      <w:tr w:rsidR="00AE62C9" w:rsidTr="00E55C59">
        <w:tc>
          <w:tcPr>
            <w:tcW w:w="10195" w:type="dxa"/>
            <w:gridSpan w:val="2"/>
            <w:vAlign w:val="center"/>
          </w:tcPr>
          <w:p w:rsidR="00AE62C9" w:rsidRDefault="00AE62C9" w:rsidP="002D7E16">
            <w:pPr>
              <w:widowControl w:val="0"/>
              <w:tabs>
                <w:tab w:val="left" w:pos="567"/>
              </w:tabs>
              <w:contextualSpacing/>
              <w:jc w:val="center"/>
              <w:rPr>
                <w:bCs/>
                <w:sz w:val="28"/>
                <w:szCs w:val="28"/>
              </w:rPr>
            </w:pPr>
            <w:r>
              <w:rPr>
                <w:bCs/>
                <w:sz w:val="28"/>
                <w:szCs w:val="28"/>
              </w:rPr>
              <w:t>2 квартал</w:t>
            </w:r>
          </w:p>
        </w:tc>
      </w:tr>
      <w:tr w:rsidR="00E55C59" w:rsidRPr="00E45411" w:rsidTr="005B2431">
        <w:tc>
          <w:tcPr>
            <w:tcW w:w="532" w:type="dxa"/>
            <w:vAlign w:val="center"/>
          </w:tcPr>
          <w:p w:rsidR="00E55C59" w:rsidRDefault="00E55C59" w:rsidP="002D7E16">
            <w:pPr>
              <w:widowControl w:val="0"/>
              <w:tabs>
                <w:tab w:val="left" w:pos="567"/>
              </w:tabs>
              <w:contextualSpacing/>
              <w:jc w:val="center"/>
              <w:rPr>
                <w:bCs/>
                <w:sz w:val="28"/>
                <w:szCs w:val="28"/>
              </w:rPr>
            </w:pPr>
            <w:r>
              <w:rPr>
                <w:bCs/>
                <w:sz w:val="28"/>
                <w:szCs w:val="28"/>
              </w:rPr>
              <w:t>1</w:t>
            </w:r>
          </w:p>
        </w:tc>
        <w:tc>
          <w:tcPr>
            <w:tcW w:w="9663" w:type="dxa"/>
            <w:vAlign w:val="center"/>
          </w:tcPr>
          <w:p w:rsidR="00E55C59" w:rsidRDefault="00E55C59" w:rsidP="00E55C59">
            <w:pPr>
              <w:widowControl w:val="0"/>
              <w:tabs>
                <w:tab w:val="left" w:pos="567"/>
              </w:tabs>
              <w:contextualSpacing/>
              <w:rPr>
                <w:bCs/>
                <w:sz w:val="28"/>
                <w:szCs w:val="28"/>
              </w:rPr>
            </w:pPr>
            <w:r>
              <w:rPr>
                <w:bCs/>
                <w:sz w:val="28"/>
                <w:szCs w:val="28"/>
              </w:rPr>
              <w:t xml:space="preserve">Устройство велосипедной дорожки на ул. Пролетарской от д.44 до ул. Баграмяна д.42 в г. Городке. </w:t>
            </w:r>
          </w:p>
        </w:tc>
      </w:tr>
    </w:tbl>
    <w:p w:rsidR="00AE62C9" w:rsidRDefault="00AE62C9" w:rsidP="0062576C">
      <w:pPr>
        <w:rPr>
          <w:sz w:val="28"/>
        </w:rPr>
      </w:pPr>
    </w:p>
    <w:p w:rsidR="00E55C59" w:rsidRPr="00BB3C13" w:rsidRDefault="00E55C59" w:rsidP="00E55C59">
      <w:pPr>
        <w:rPr>
          <w:b/>
          <w:sz w:val="28"/>
        </w:rPr>
      </w:pPr>
    </w:p>
    <w:p w:rsidR="00BB3C13" w:rsidRDefault="00491FDE" w:rsidP="00BB3C13">
      <w:pPr>
        <w:ind w:firstLine="708"/>
        <w:jc w:val="both"/>
        <w:rPr>
          <w:sz w:val="28"/>
        </w:rPr>
      </w:pPr>
      <w:r>
        <w:rPr>
          <w:sz w:val="28"/>
        </w:rPr>
        <w:t>ОГАИ Городокского РОВД на постоянной основе проводятся выступления в учреждениях образования и трудовых коллективах района (194 выступления), также осуществляется размещение статей в сети Интернет (110 статей) и статей в газете «Городокский вестник» (24 статьи). В ходе повседневной деятельности сотрудники ОГАИ проводят профилактические беседы с участниками дорожного движения.</w:t>
      </w:r>
      <w:r w:rsidR="00BB3C13">
        <w:rPr>
          <w:sz w:val="28"/>
        </w:rPr>
        <w:t xml:space="preserve"> </w:t>
      </w:r>
    </w:p>
    <w:p w:rsidR="00AE62C9" w:rsidRDefault="00AE62C9" w:rsidP="0062576C">
      <w:pPr>
        <w:rPr>
          <w:sz w:val="28"/>
        </w:rPr>
      </w:pPr>
    </w:p>
    <w:p w:rsidR="0043369C" w:rsidRDefault="0043369C" w:rsidP="0062576C">
      <w:pPr>
        <w:rPr>
          <w:sz w:val="28"/>
        </w:rPr>
      </w:pPr>
    </w:p>
    <w:p w:rsidR="0043369C" w:rsidRPr="0035607A" w:rsidRDefault="0035607A" w:rsidP="0035607A">
      <w:pPr>
        <w:tabs>
          <w:tab w:val="left" w:pos="5655"/>
        </w:tabs>
        <w:rPr>
          <w:i/>
          <w:sz w:val="28"/>
        </w:rPr>
      </w:pPr>
      <w:r>
        <w:rPr>
          <w:sz w:val="28"/>
        </w:rPr>
        <w:tab/>
      </w:r>
      <w:r w:rsidRPr="0035607A">
        <w:rPr>
          <w:i/>
          <w:sz w:val="28"/>
        </w:rPr>
        <w:t>ОГАИ Городокского РОВД</w:t>
      </w:r>
    </w:p>
    <w:p w:rsidR="002B4AE7" w:rsidRPr="0035607A" w:rsidRDefault="002B4AE7" w:rsidP="0062576C">
      <w:pPr>
        <w:rPr>
          <w:i/>
          <w:sz w:val="28"/>
        </w:rPr>
      </w:pPr>
    </w:p>
    <w:p w:rsidR="002B4AE7" w:rsidRDefault="002B4AE7" w:rsidP="0062576C">
      <w:pPr>
        <w:rPr>
          <w:sz w:val="28"/>
        </w:rPr>
      </w:pPr>
    </w:p>
    <w:p w:rsidR="002B4AE7" w:rsidRDefault="002B4AE7" w:rsidP="0062576C">
      <w:pPr>
        <w:rPr>
          <w:sz w:val="28"/>
        </w:rPr>
      </w:pPr>
    </w:p>
    <w:p w:rsidR="002B4AE7" w:rsidRDefault="002B4AE7" w:rsidP="0062576C">
      <w:pPr>
        <w:rPr>
          <w:sz w:val="28"/>
        </w:rPr>
      </w:pPr>
    </w:p>
    <w:p w:rsidR="000E08CD" w:rsidRDefault="000E08CD" w:rsidP="0062576C">
      <w:pPr>
        <w:rPr>
          <w:sz w:val="28"/>
        </w:rPr>
      </w:pPr>
    </w:p>
    <w:p w:rsidR="00C24024" w:rsidRPr="0062576C" w:rsidRDefault="00C24024" w:rsidP="00C24024">
      <w:pPr>
        <w:rPr>
          <w:sz w:val="20"/>
        </w:rPr>
      </w:pPr>
    </w:p>
    <w:sectPr w:rsidR="00C24024" w:rsidRPr="0062576C" w:rsidSect="00562CEE">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56"/>
    <w:rsid w:val="000421B9"/>
    <w:rsid w:val="000E08CD"/>
    <w:rsid w:val="00120AEE"/>
    <w:rsid w:val="0013073B"/>
    <w:rsid w:val="001541E0"/>
    <w:rsid w:val="00285DFC"/>
    <w:rsid w:val="002B4AE7"/>
    <w:rsid w:val="002F38B6"/>
    <w:rsid w:val="00324A13"/>
    <w:rsid w:val="0035607A"/>
    <w:rsid w:val="003F0689"/>
    <w:rsid w:val="0043369C"/>
    <w:rsid w:val="00455E3E"/>
    <w:rsid w:val="00491FDE"/>
    <w:rsid w:val="004E4204"/>
    <w:rsid w:val="004F7B43"/>
    <w:rsid w:val="00541624"/>
    <w:rsid w:val="00562CEE"/>
    <w:rsid w:val="00593A1D"/>
    <w:rsid w:val="005F7E0D"/>
    <w:rsid w:val="0062576C"/>
    <w:rsid w:val="008B1603"/>
    <w:rsid w:val="008B21C5"/>
    <w:rsid w:val="008D3136"/>
    <w:rsid w:val="00997625"/>
    <w:rsid w:val="00A14C56"/>
    <w:rsid w:val="00AC6A25"/>
    <w:rsid w:val="00AE62C9"/>
    <w:rsid w:val="00B147BC"/>
    <w:rsid w:val="00B506F0"/>
    <w:rsid w:val="00B81C31"/>
    <w:rsid w:val="00BB3C13"/>
    <w:rsid w:val="00C06BF6"/>
    <w:rsid w:val="00C24024"/>
    <w:rsid w:val="00CC3C01"/>
    <w:rsid w:val="00CD57C1"/>
    <w:rsid w:val="00DB02C5"/>
    <w:rsid w:val="00DB47A6"/>
    <w:rsid w:val="00E20A70"/>
    <w:rsid w:val="00E55C59"/>
    <w:rsid w:val="00EC73B5"/>
    <w:rsid w:val="00F43E17"/>
    <w:rsid w:val="00F83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9B52F-C332-4A5D-9144-FD35A6DE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56"/>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A70"/>
    <w:rPr>
      <w:rFonts w:ascii="Segoe UI" w:hAnsi="Segoe UI" w:cs="Segoe UI"/>
      <w:sz w:val="18"/>
      <w:szCs w:val="18"/>
    </w:rPr>
  </w:style>
  <w:style w:type="character" w:customStyle="1" w:styleId="a4">
    <w:name w:val="Текст выноски Знак"/>
    <w:basedOn w:val="a0"/>
    <w:link w:val="a3"/>
    <w:uiPriority w:val="99"/>
    <w:semiHidden/>
    <w:rsid w:val="00E20A70"/>
    <w:rPr>
      <w:rFonts w:ascii="Segoe UI" w:eastAsia="Times New Roman" w:hAnsi="Segoe UI" w:cs="Segoe UI"/>
      <w:sz w:val="18"/>
      <w:szCs w:val="18"/>
      <w:lang w:eastAsia="ru-RU"/>
    </w:rPr>
  </w:style>
  <w:style w:type="table" w:styleId="a5">
    <w:name w:val="Table Grid"/>
    <w:basedOn w:val="a1"/>
    <w:uiPriority w:val="59"/>
    <w:rsid w:val="00CC3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AE62C9"/>
    <w:pPr>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55C59"/>
    <w:pPr>
      <w:spacing w:before="100" w:beforeAutospacing="1" w:after="100" w:afterAutospacing="1"/>
    </w:pPr>
  </w:style>
  <w:style w:type="character" w:styleId="a7">
    <w:name w:val="Strong"/>
    <w:basedOn w:val="a0"/>
    <w:uiPriority w:val="22"/>
    <w:qFormat/>
    <w:rsid w:val="00E55C59"/>
    <w:rPr>
      <w:b/>
      <w:bCs/>
    </w:rPr>
  </w:style>
  <w:style w:type="paragraph" w:styleId="a8">
    <w:name w:val="No Spacing"/>
    <w:uiPriority w:val="1"/>
    <w:qFormat/>
    <w:rsid w:val="0035607A"/>
    <w:pPr>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933872">
      <w:bodyDiv w:val="1"/>
      <w:marLeft w:val="0"/>
      <w:marRight w:val="0"/>
      <w:marTop w:val="0"/>
      <w:marBottom w:val="0"/>
      <w:divBdr>
        <w:top w:val="none" w:sz="0" w:space="0" w:color="auto"/>
        <w:left w:val="none" w:sz="0" w:space="0" w:color="auto"/>
        <w:bottom w:val="none" w:sz="0" w:space="0" w:color="auto"/>
        <w:right w:val="none" w:sz="0" w:space="0" w:color="auto"/>
      </w:divBdr>
    </w:div>
    <w:div w:id="1204294348">
      <w:bodyDiv w:val="1"/>
      <w:marLeft w:val="0"/>
      <w:marRight w:val="0"/>
      <w:marTop w:val="0"/>
      <w:marBottom w:val="0"/>
      <w:divBdr>
        <w:top w:val="none" w:sz="0" w:space="0" w:color="auto"/>
        <w:left w:val="none" w:sz="0" w:space="0" w:color="auto"/>
        <w:bottom w:val="none" w:sz="0" w:space="0" w:color="auto"/>
        <w:right w:val="none" w:sz="0" w:space="0" w:color="auto"/>
      </w:divBdr>
    </w:div>
    <w:div w:id="17314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3F57-3A14-4468-91A5-5B1D4858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889</Words>
  <Characters>5069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2025-08-18T07:51:00Z</cp:lastPrinted>
  <dcterms:created xsi:type="dcterms:W3CDTF">2025-08-18T08:10:00Z</dcterms:created>
  <dcterms:modified xsi:type="dcterms:W3CDTF">2025-08-18T08:41:00Z</dcterms:modified>
</cp:coreProperties>
</file>