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547B" w:rsidRDefault="0006547B">
      <w:pPr>
        <w:pStyle w:val="newncpi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ВИТЕБСКОГО ОБЛАСТНОГО ИСПОЛНИТЕЛЬНОГО КОМИТЕТА</w:t>
      </w:r>
    </w:p>
    <w:p w:rsidR="0006547B" w:rsidRDefault="0006547B">
      <w:pPr>
        <w:pStyle w:val="newncpi"/>
        <w:ind w:firstLine="0"/>
        <w:jc w:val="center"/>
      </w:pPr>
      <w:r>
        <w:rPr>
          <w:rStyle w:val="datepr"/>
        </w:rPr>
        <w:t>21 декабря 2022 г.</w:t>
      </w:r>
      <w:r>
        <w:rPr>
          <w:rStyle w:val="number"/>
        </w:rPr>
        <w:t xml:space="preserve"> № 716</w:t>
      </w:r>
    </w:p>
    <w:p w:rsidR="0006547B" w:rsidRDefault="0006547B">
      <w:pPr>
        <w:pStyle w:val="titlencpi"/>
      </w:pPr>
      <w:r>
        <w:t>О критериях оценки степени риска</w:t>
      </w:r>
    </w:p>
    <w:p w:rsidR="0006547B" w:rsidRDefault="0006547B">
      <w:pPr>
        <w:pStyle w:val="changei"/>
      </w:pPr>
      <w:r>
        <w:t>Изменения и дополнения:</w:t>
      </w:r>
    </w:p>
    <w:p w:rsidR="0006547B" w:rsidRDefault="0006547B">
      <w:pPr>
        <w:pStyle w:val="changeadd"/>
      </w:pPr>
      <w:r>
        <w:t>Решение Витебского областного исполнительного комитета от 10 января 2024 г. № 12 &lt;R92400012200&gt;</w:t>
      </w:r>
    </w:p>
    <w:p w:rsidR="0006547B" w:rsidRDefault="0006547B">
      <w:pPr>
        <w:pStyle w:val="newncpi"/>
      </w:pPr>
      <w:r>
        <w:t> </w:t>
      </w:r>
    </w:p>
    <w:p w:rsidR="0006547B" w:rsidRDefault="0006547B">
      <w:pPr>
        <w:pStyle w:val="preamble"/>
      </w:pPr>
      <w:r>
        <w:t>На основании части третьей пункта 9 Указа Президента Республики Беларусь от 16 октября 2009 г. № 510 «О совершенствовании контрольной (надзорной) деятельности в Республике Беларусь» Витебский областной исполнительный комитет РЕШИЛ:</w:t>
      </w:r>
    </w:p>
    <w:p w:rsidR="0006547B" w:rsidRDefault="0006547B">
      <w:pPr>
        <w:pStyle w:val="point"/>
      </w:pPr>
      <w:r>
        <w:t>1. Определить критерии оценки степени риска для отбора проверяемых субъектов при проведении выборочной проверки согласно приложению.</w:t>
      </w:r>
    </w:p>
    <w:p w:rsidR="0006547B" w:rsidRDefault="0006547B">
      <w:pPr>
        <w:pStyle w:val="point"/>
      </w:pPr>
      <w:r>
        <w:t>2. Признать утратившим силу решение Витебского областного исполнительного комитета от 5 января 2022 г. № 5 «О критериях оценки степени риска».</w:t>
      </w:r>
    </w:p>
    <w:p w:rsidR="0006547B" w:rsidRDefault="0006547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06547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547B" w:rsidRDefault="0006547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547B" w:rsidRDefault="0006547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А.М.Субботин</w:t>
            </w:r>
            <w:proofErr w:type="spellEnd"/>
          </w:p>
        </w:tc>
      </w:tr>
      <w:tr w:rsidR="0006547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547B" w:rsidRDefault="0006547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547B" w:rsidRDefault="0006547B">
            <w:pPr>
              <w:pStyle w:val="newncpi0"/>
              <w:jc w:val="right"/>
            </w:pPr>
            <w:r>
              <w:t> </w:t>
            </w:r>
          </w:p>
        </w:tc>
      </w:tr>
      <w:tr w:rsidR="0006547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547B" w:rsidRDefault="0006547B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547B" w:rsidRDefault="0006547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А.В.Сысоев</w:t>
            </w:r>
            <w:proofErr w:type="spellEnd"/>
          </w:p>
        </w:tc>
      </w:tr>
    </w:tbl>
    <w:p w:rsidR="0006547B" w:rsidRDefault="0006547B">
      <w:pPr>
        <w:pStyle w:val="newncpi"/>
      </w:pPr>
      <w:r>
        <w:t> </w:t>
      </w:r>
    </w:p>
    <w:p w:rsidR="0006547B" w:rsidRDefault="0006547B">
      <w:pPr>
        <w:rPr>
          <w:rFonts w:eastAsia="Times New Roman"/>
        </w:rPr>
        <w:sectPr w:rsidR="0006547B" w:rsidSect="0006547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06547B" w:rsidRDefault="0006547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06547B" w:rsidRPr="0006547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append1"/>
            </w:pPr>
            <w:r>
              <w:t>Приложение</w:t>
            </w:r>
          </w:p>
          <w:p w:rsidR="0006547B" w:rsidRDefault="0006547B">
            <w:pPr>
              <w:pStyle w:val="append"/>
            </w:pPr>
            <w:r>
              <w:t>к решению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  <w:r>
              <w:br/>
              <w:t xml:space="preserve">21.12.2022 № 716 </w:t>
            </w:r>
          </w:p>
        </w:tc>
      </w:tr>
    </w:tbl>
    <w:p w:rsidR="0006547B" w:rsidRDefault="0006547B">
      <w:pPr>
        <w:pStyle w:val="titlep"/>
      </w:pPr>
      <w:r>
        <w:t>КРИТЕРИИ</w:t>
      </w:r>
      <w:r>
        <w:br/>
        <w:t>оценки степени риска для отбора проверяемых субъектов при проведении выборочной проверки*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8082"/>
        <w:gridCol w:w="1841"/>
        <w:gridCol w:w="2885"/>
      </w:tblGrid>
      <w:tr w:rsidR="0006547B">
        <w:trPr>
          <w:trHeight w:val="24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547B" w:rsidRDefault="0006547B">
            <w:pPr>
              <w:pStyle w:val="table10"/>
              <w:jc w:val="center"/>
            </w:pPr>
            <w:r>
              <w:t>Наименование сферы контроля (надзора)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547B" w:rsidRDefault="0006547B">
            <w:pPr>
              <w:pStyle w:val="table10"/>
              <w:jc w:val="center"/>
            </w:pPr>
            <w:r>
              <w:t>Наименование критерия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547B" w:rsidRDefault="0006547B">
            <w:pPr>
              <w:pStyle w:val="table10"/>
              <w:jc w:val="center"/>
            </w:pPr>
            <w:r>
              <w:t>Баллы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547B" w:rsidRDefault="0006547B">
            <w:pPr>
              <w:pStyle w:val="table10"/>
              <w:jc w:val="center"/>
            </w:pPr>
            <w:r>
              <w:t>Период, дата оценки</w:t>
            </w:r>
          </w:p>
        </w:tc>
      </w:tr>
      <w:tr w:rsidR="0006547B">
        <w:trPr>
          <w:trHeight w:val="240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547B" w:rsidRDefault="0006547B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547B" w:rsidRDefault="0006547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547B" w:rsidRDefault="0006547B">
            <w:pPr>
              <w:pStyle w:val="table10"/>
              <w:jc w:val="center"/>
            </w:pPr>
            <w: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547B" w:rsidRDefault="0006547B">
            <w:pPr>
              <w:pStyle w:val="table10"/>
              <w:jc w:val="center"/>
            </w:pPr>
            <w:r>
              <w:t>4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vMerge w:val="restar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1. Контроль за соблюдением законодательства при проведении культурно-зрелищных мероприятий (повышающий коэффициент 1,2)</w:t>
            </w:r>
          </w:p>
        </w:tc>
        <w:tc>
          <w:tcPr>
            <w:tcW w:w="24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1.1. Наличие рекламной информации в средствах массовой информации о проведении культурно-зрелищного мероприятия до включения организатора в реестр организаторов культурно-зрелищных мероприятий</w:t>
            </w:r>
          </w:p>
        </w:tc>
        <w:tc>
          <w:tcPr>
            <w:tcW w:w="5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89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Предыдущий год, истекший период текущего года</w:t>
            </w:r>
          </w:p>
        </w:tc>
      </w:tr>
      <w:tr w:rsidR="0006547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1.2. Наличие в деятельности организатора культурно-зрелищного мероприятия обстоятельств, предусмотренных в пункте 1 статьи 81 Кодекса Республики Беларусь о культуре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1.3. Наличие рекламной информации в средствах массовой информации о проведении культурно-зрелищного мероприятия до получения организатором культурно-зрелищного мероприятия удостоверения на право организации и проведения культурно-зрелищного мероприятия на территории Республики Беларусь в случаях, когда получение такого удостоверения является обязательным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1.4. Наличие обоснованных обращений в отношении организатора культурно-зрелищного мероприятия по вопросам нарушения действующего законодательства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1.5. Наличие информации об отсутствии у организатора культурно-зрелищного мероприятия удостоверения на право организации и проведения культурно-зрелищного мероприятия на территории Республики Беларусь либо письменного уведомления о проведении культурно-зрелищного мероприятия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1.6. Наличие информации о привлечении организатора культурно-зрелищного мероприятия к административной ответственности по статье 13.26 Кодекса Республики Беларусь об административных правонарушениях (далее – КоАП) в течение календарного года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На дату составления плана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1.7. Неустранение нарушений, выявленных в ходе предыдущих проверок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На дату составления плана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2. Надзор за соблюдением законодательства о занятости населения, пенсионном обеспечении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2.1. Привлечение юридического лица (должностных лиц субъекта) за нарушение законодательства о занятости населения к административной ответственности по основаниям, предусмотренным частями 1 и 2 статьи 10.11 КоАП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В год, предшествующий году, в котором запланировано проведение выборочной проверки</w:t>
            </w: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2.2. Привлечение должностных лиц субъекта за нарушение законодательства о занятости населения к административной ответственности по основаниям, предусмотренным частью 3 статьи 10.11 КоАП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2.3. Привлечение должностных лиц субъекта за нарушение законодательства о труде к административной ответственности по основаниям, предусмотренным частью 1 статьи 10.12 КоАП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2.4. Наличие обоснованных обращений граждан и юридических лиц о нарушении субъектом законодательства о занятости населения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2.5. Наличие фактов нарушения субъектом обязанностей, определенных статьей 21 Закона Республики Беларусь от 15 июня 2006 г. № 125-З «О занятости населения Республики Беларусь»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2.6. Несвоевременное представление документов для назначения пенсии более двух раз в течение календарного года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2.7. Неполное оформление документов, необходимых для назначения пенсии (два и более раз в течение календарного года)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2.8. Наличие в течение календарного года информации об оформлении документов для назначения пенсии, содержащих недостоверные сведения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2.9. Отсутствие в течение календарного года обоснованных обращений граждан о нарушениях работодателем законодательства о пенсионном обеспечении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3. Надзор за соблюдением законодательства о труде и пенсионном обеспечении по вопросам предоставления компенсаций работникам за работу с вредными и (или) опасными условиями труда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3.1. Отсутствие информации о результатах очередной (внеочередной на вновь созданных рабочих местах) аттестации рабочих мест по условиям труда в республиканском банке данных результатов аттестации рабочих мест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В год, предшествующий году, в котором запланировано проведение выборочной проверки</w:t>
            </w: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3.2. Отсутствие информации об устранении нарушений порядка проведения аттестации рабочих мест по условиям труда, выявленных в ходе проведения мероприятий технического (поверочного) характера, мониторинга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3.3. Привлечение юридических (должностных лиц субъекта) к административной ответственности по основаниям, предусмотренным частью 5 статьи 10.12 КоАП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3.4. Количество рабочих мест с вредными и (или) опасными условиями труда более 50 процентов от общего количества рабочих мест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3.5. Наличие обоснованных обращений граждан о нарушениях законодательства о труде и пенсионном обеспечении по вопросам предоставления компенсаций работникам за работу с вредными и (или) опасными условиями труда в отношении субъекта (включая переадресованные иными органами управления, организациями, средствами массовой информации)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3.6. Своевременное проведение аттестации рабочих мест по условиям труда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4. Контроль за соблюдением законодательства об оплате труда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4.1. Привлечение должностных лиц к административной ответственности по основаниям, предусмотренным частями 3, 4 и 6 статьи 10.12 КоАП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В год, предшествующий году, в котором запланировано проведение выборочной проверки</w:t>
            </w: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4.2. Наличие информации, полученной от государственных органов и иных организаций, о нарушениях законодательства об оплате труда, в том числе о фактах выплаты заработной платы «в конвертах»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4.3. Наличие сведений </w:t>
            </w:r>
            <w:proofErr w:type="spellStart"/>
            <w:r>
              <w:t>Белстата</w:t>
            </w:r>
            <w:proofErr w:type="spellEnd"/>
            <w:r>
              <w:t xml:space="preserve"> о выплате заработной платы в размере ниже минимальной заработной платы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4.4. Наличие обоснованных обращений граждан о нарушениях субъектом законодательства об оплате труда (включая переадресованные в контролирующий (надзорный) орган иными органами управления, организациями, средствами массовой информации)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4.5. Наличие возбужденного уголовного дела за экономические и должностные преступления, находящегося в следственных органах или переданного на рассмотрение в суды, в отношении руководителя проверяемого субъекта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4.6. Наличие факта работы свыше 50 процентов работников в режиме неполного рабочего времени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4.7. Наличие факта нахождения свыше 50 процентов работников субъекта в социальных отпусках без сохранения заработной платы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4.8. Отсутствие в предыдущем календарном году, а также в истекшем периоде календарного года, в котором формируется план выборочных проверок, информации о нарушении законодательства об оплате труда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4.9. Отсутствие в предыдущем календарном году, а также в истекшем периоде календарного года, в котором формируется план выборочных проверок, обоснованных обращений граждан о нарушениях субъектом законодательства об оплате труда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4.10. Наличие обоснованных обращений граждан о фактах выплаты им проверяемым субъектом заработной платы «в конвертах»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 Контроль за соблюдением нотариусами, организационными структурами Белорусской нотариальной палаты (далее – нотариальная палата), законодательства о нотариате, соблюдение нотариусами законодательства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5.1. Нотариальная палата: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За два календарных года, предшествующих году, в котором формируется план выборочных проверок, а также за истекший период текущего календарного года</w:t>
            </w: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5.1.1. Наличие в течение календарного года обоснованного обращения граждан и (или) юридических лиц по вопросу деятельности нотариальной палаты в части ненадлежащей организации нотариального обслуживания граждан и юридических лиц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5.1.2. Наличие в течение календарного года двух и более обоснованных обращений граждан и (или) юридических лиц по вопросу правомерности действий, совершенных нотариальной палатой и (или) иным органом нотариальной палаты в рамках соблюдения законодательства о нотариате (за исключением обращений граждан и (или) юридических лиц по вопросу деятельности нотариальной палаты в части ненадлежащей организации нотариального обслуживания граждан и юридических лиц)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5.1.3. Выявление повторного нарушения в течение года после вынесения Министерством юстиции предписания об устранении нарушений законодательства либо о принятии мер по устранению допущенных нарушений (недостатков)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5.1.4. Выявление решения, не соответствующего законодательству, после вынесения Министерством юстиции предписания об отмене не соответствующего законодательству решения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5.1.5. Сохранение действующих и (или) создание новых рабочих мест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5.1.6. Отсутствие нарушений в работе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5.1.7. Участие в решении социальных задач республиканского и местного значения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5.2. Нотариусы: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5.2.1. Наличие решения суда о признании жалобы на нотариальные действия или отказа в их совершении обоснованной и обязывающее нотариуса выполнить определенные действия, совершить нотариальное действие, внести исправления в совершенное нотариальное действие (устранить допущенные при совершении нотариального действия нарушения), об отмене совершенного нотариального действия (при наличии вины нотариуса)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5.2.2. Наличие решения суда о признании недействительным нотариально удостоверенного договора, свидетельства о праве на наследство и других документов, в отношении которых были совершены действия (при наличии вины нотариуса)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5.2.3. Наличие частного определения суда в связи с нарушением законности нотариусом либо в связи с наличием существенных недостатков или нарушения в деятельности нотариуса (при отсутствии решения суда о признании недействительным нотариально удостоверенного договора, свидетельства о праве на наследство и других документов, в отношении которых были совершены действия (при наличии вины нотариуса)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5.2.4. Наличие в течение календарного года двух и более обоснованных обращений граждан и (или) юридических лиц по вопросу правомерности действий нотариуса в рамках осуществляемой деятельности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5.2.5. Выявление повторного в течение календарного года нарушения нотариусом правил совершения нотариальных действий и (или) порядка совершения нотариальных действий (за исключением нарушений, выявленных при рассмотрении обращений по вопросу правомерности действий нотариуса в рамках осуществляемой деятельности)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5.2.6. Неоднократное (два раза в течение одного года) нарушение установленного порядка анкетирования клиентов, предусмотренного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5.2.7. Неоднократное (два и более раза в течение одного года) нарушение установленного порядка регистрации финансовых операций, подлежащих особому контролю, в специальном формуляре и (или) представления такого формуляра в орган финансового мониторинга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5.2.8. Нарушение установленного порядка фиксации данных, полученных при проведении идентификации участников финансовой операции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5.2.9. Отсутствие нарушений в работе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5.2.10. Сохранение действующих и (или) создание новых рабочих мест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5.2.11. Участие в решении социальных задач республиканского и местного значения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6. Контроль за использованием и охраной земель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6.1. Наличие информации о неиспользовании земельного участка в течение срока, установленного законодательными актами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 за каждый факт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В течение года, предшествующего году </w:t>
            </w:r>
            <w:r>
              <w:lastRenderedPageBreak/>
              <w:t>проведения выборочной проверки</w:t>
            </w: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6.2. Наличие информации о нецелевом использовании предоставленного земельного участка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 за каждый факт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6.3. Наличие информации о нарушении порядка снятия, сохранения и использования плодородного слоя при проведении работ, связанных с нарушением земель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 за каждый факт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6.4. Наличие подтвержденной информации о нарушении землепользователями границ земельных участков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 за каждый факт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6.5. Наличие информации о нарушении сроков возврата временно занимаемых земель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 за каждый факт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7. Контроль за соблюдением бюджетного законодательства, а также законодательства, предусматривающего использование бюджетных средств, в том числе целевым и эффективным использованием средств, выделяемых из местных бюджетов, по всем направлениям и видам расходов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7.1. Получение и (или) использование бюджетных средств, средств государственных целевых бюджетных фондов, мер государственной поддержки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Критерии 7.1–7.4 применяются за истекший период текущего года, в котором осуществляется формирование плана выборочных проверок, и за два предшествующих ему календарных года, за исключением подпунктов 7.5 и 7.6 настоящего пункта</w:t>
            </w:r>
          </w:p>
        </w:tc>
      </w:tr>
      <w:tr w:rsidR="0006547B" w:rsidRP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7.2. Осуществление приносящей доходы деятельности (наличие в бюджетной организации открытого в банке текущего (расчетного) счета по средствам от приносящей доходы деятельности)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06547B" w:rsidRP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7.3. Использование бюджетных средств, средств государственных целевых бюджетных фондов, мер государственной поддержки на капитальные вложения в основные фонды (статья 40 экономической классификации расходов бюджета), и (или) на текущий ремонт зданий и помещений (элемент 10.10.03 статьи 10 экономической классификации расходов бюджета), и (или) на текущие бюджетные трансферты (статья 30 экономической классификации расходов бюджета), и (или) на капитальные бюджетные трансферты (статья 70 экономической классификации расходов бюджета)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06547B" w:rsidRP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7.4. использование бюджетных средств, средств государственных целевых бюджетных фондов, выделяемых на финансирование государственных программ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7.5. Наличие нарушений по результатам предыдущей проверки субъекта, проведенной Министерством финансов или его территориальным органом, Витебским областным исполнительным комитетом (далее – облисполком), главным финансовым управлением облисполкома, финансовым управлением (отделом) местного исполнительного и распорядительного органа по вопросам соблюдения бюджетного законодательства, а также законодательства, предусматривающего использование бюджетных средств, в том числе целевого и эффективного использования средств, выделяемых из местных бюджетов, по всем направлениям и видам расходов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7.6. Непроведение Министерством финансов или его территориальным органом, облисполкомом, главным финансовым управлением облисполкома, финансовым управлением (отделом) местного исполнительного и распорядительного органа проверок субъекта по вопросам соблюдения бюджетного законодательства, а также законодательства, предусматривающего использование бюджетных средств, в том числе целевого и эффективного использования средств, выделяемых из местных бюджетов, по всем направлениям и видам расходов, в течение трех лет (включая текущий год, в котором осуществляется формирование плана выборочных проверок, и два предшествующих ему календарных года)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8. Контроль за целевым использованием средств, выделяемых из местных бюджетов в рамках программ государственной поддержки </w:t>
            </w:r>
            <w:r>
              <w:lastRenderedPageBreak/>
              <w:t>малого предпринимательства на оказание государственной финансовой поддержки субъектам малого предпринимательства, субъектам инфраструктуры поддержки малого и среднего предпринимательства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lastRenderedPageBreak/>
              <w:t>8.1. Наличие информации о нецелевом использовании средств, выделенных в рамках программы на оказание государственной финансовой поддержки субъектам малого предпринимательства, субъектам инфраструктуры поддержки малого и среднего предпринимательства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В течение года, предшествующего году проведения выборочной проверки</w:t>
            </w: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8.2. Наличие поступивших в отношении субъекта обращений граждан и юридических лиц о нарушениях бюджетного законодательства, а также законодательства об использовании бюджетных средств, признанных обоснованными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8.3. Наличие фактов задолженности по платежам в бюджет и государственные внебюджетные фонды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8.4. Создание новых рабочих мест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9. Контроль за соблюдением проверяемыми субъектами законодательства о книге замечаний и предложений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9.1. Наличие обоснованных обращений граждан и (или) юридических лиц о нарушениях законодательства о книге замечаний и предложений в отношении проверяемого субъекта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 балла за каждый факт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В течение года, предшествующего году проведения выборочной проверки </w:t>
            </w: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9.2. Привлечение должностных лиц проверяемого субъекта за нарушение законодательства о книге замечаний и предложений к административной ответственности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5 баллов за каждый факт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 w:rsidRPr="0006547B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10. Контроль за соблюдением законодательства в области охраны историко-культурного наследия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10.1. Отсутствие паспорта материальной историко-культурной ценности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За календарный год, предшествующий году, в котором формируется план выборочных проверок</w:t>
            </w: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10.2. Отсутствие охранной доски на недвижимой материальной историко-культурной ценности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10.3. Отсутствие охранного обязательства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10.4. Осуществление деятельности, которая может оказать воздействие на историко-культурную ценность категории «3», «без категории»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10.5. Наличие информации о неуплате (несвоевременной и (или) неполной уплате) отчислений, предусмотренных Указом Президента Республики Беларусь от 18 октября 2007 г. № 527 «Аб </w:t>
            </w:r>
            <w:proofErr w:type="spellStart"/>
            <w:r>
              <w:t>некаторых</w:t>
            </w:r>
            <w:proofErr w:type="spellEnd"/>
            <w:r>
              <w:t xml:space="preserve"> </w:t>
            </w:r>
            <w:proofErr w:type="spellStart"/>
            <w:r>
              <w:t>пытаннях</w:t>
            </w:r>
            <w:proofErr w:type="spellEnd"/>
            <w:r>
              <w:t xml:space="preserve"> </w:t>
            </w:r>
            <w:proofErr w:type="spellStart"/>
            <w:r>
              <w:t>аховы</w:t>
            </w:r>
            <w:proofErr w:type="spellEnd"/>
            <w:r>
              <w:t xml:space="preserve"> </w:t>
            </w:r>
            <w:proofErr w:type="spellStart"/>
            <w:r>
              <w:t>гiсторыка-культурнай</w:t>
            </w:r>
            <w:proofErr w:type="spellEnd"/>
            <w:r>
              <w:t xml:space="preserve"> </w:t>
            </w:r>
            <w:proofErr w:type="spellStart"/>
            <w:r>
              <w:t>спадчыны</w:t>
            </w:r>
            <w:proofErr w:type="spellEnd"/>
            <w:r>
              <w:t>»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10.6. Осуществление деятельности, которая может оказать воздействие на историко-культурную ценность категории «0», «1», «2»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10.7. Наличие информации о привлечении к административной ответственности по основаниям, предусмотренным статьями 20.1–20.5 КоАП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10.8. Отсутствие утвержденных зон охраны недвижимой материальной историко-культурной ценности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10.9. Наличие установленных фактов проведения на недвижимой материальной историко-культурной ценности ремонтно-реставрационных работ без наличия согласованной Министерством культуры научно-проектной документации на выполнение ремонтно-реставрационных работ на материальных историко-культурных ценностях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10.10. Ухудшение условий восприятия недвижимых материальных историко-культурных ценностей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10.11. Наличие установленных фактов проведения работ на памятнике археологии без разработки мер по охране археологических объектов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10.12. Наличие установленных фактов изменения недвижимой материальной историко-культурной ценности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10.13. Наличие установленных фактов нарушения режимов содержания и (или) использования установленных зон охраны недвижимых материальных историко-культурных ценностей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10.14. Неустранение нарушений, выявленных в ходе предыдущих проверок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10.15. Наличие установленных фактов ухудшения технического состояния историко-культурной ценности или создание угрозы его ухудшения, неиспользования объекта наследия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10.16. Наличие установленных фактов об уничтожении историко-культурных ценностей или создании угрозы их уничтожения, причинении им ущерба или создании угрозы ее причинения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10.17. Наличие заключения Министерства культуры о соответствии принимаемой в эксплуатацию недвижимости материальной историко-культурной ценности научно-проектной документации на выполнение ремонтно-реставрационных работ на материальных историко-культурных ценностях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–10 % (по всем критериям оценки степени риска в данной сфере)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11. Контроль за соблюдением жилищного законодательства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11.1. Привлечение должностных лиц проверяемого субъекта к административной ответственности за нарушение жилищного законодательства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4 балла за каждый факт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В течение года, предшествующего году проведения выборочной проверки </w:t>
            </w: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11.2. Наличие обоснованных обращений граждан и (или) юридических лиц о нарушениях жилищного законодательства в отношении проверяемого субъекта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 балла за каждый факт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11.3. Наличие достоверной информации о нарушениях законодательства субъектом при постановке на учет (снятии с учета) граждан, нуждающихся в улучшении жилищных условий и условий льготного кредитования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11.4. Наличие достоверной информации о нарушениях законодательства со стороны субъекта в части предоставления жилых помещений социального и коммерческого пользования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11.5. Отсутствие нарушений в работе субъекта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11.6. Сохранение действующих и создание не менее 3 новых рабочих мест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11.7. Длительность работы на рынке более 10 лет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12. Контроль в области жилищного строительства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12.1. Привлечение должностных лиц проверяемого субъекта к административной ответственности за нарушение законодательства в области жилищного строительства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 балла за каждый факт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В течение года, предшествующего году проведения выборочной проверки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12.2. Наличие обоснованных обращений граждан и (или) юридических лиц о нарушениях законодательства в области жилищного строительства в отношении проверяемого субъекта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 балл за каждый факт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12.3. Неоднократное продление разрешения на строительно-монтажные работы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12.4. Наличие достоверной информации о превышении нормативного срока строительства (в том числе реконструкции, реставрации, капитального ремонта и благоустройства)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 балла за каждый факт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12.5. Наличие достоверной информации о непроведении застройщиком ежегодного аудита целевого использования привлекаемых на строительство объектов долевого строительства средств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4 балла за каждый факт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12.6. Достоверные сведения о завышении стоимости строительства (в том числе реконструкции, реставрации, капитального ремонта и благоустройства) жилого дома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12.7. Отказ застройщика от исполнения обязательств по созданию объекта строительства в связи с невозможностью исполнения принятых обязательств по договорам создания объектов долевого строительства и (или) договору строительства подряда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12.8. Прекращение финансирования застройщиком строительства объекта на срок более трех месяцев (систематические </w:t>
            </w:r>
            <w:proofErr w:type="spellStart"/>
            <w:r>
              <w:t>нерасчеты</w:t>
            </w:r>
            <w:proofErr w:type="spellEnd"/>
            <w:r>
              <w:t xml:space="preserve"> с подрядными организациями за выполненные работы)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12.9. Осуществление самовольного строительства жилых домов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12.10. Отсутствие нарушений в работе субъекта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12.11. Сохранение действующих и создание не менее 3 новых рабочих мест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12.12. Длительность работы на рынке более 10 лет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 Контроль за обеспечением качества образования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13.1. Учреждения дошкольного образования и специального образования на уровне дошкольного образования: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По итогам календарного года, предшествующего году проведения выборочной проверки</w:t>
            </w: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13.1.1. Обеспеченность педагогическими кадрами: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 xml:space="preserve">процент укомплектованности учреждения образования педагогическими работниками, для которых эта работа является основным местом работы, менее 60 процентов;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 xml:space="preserve">доля воспитателей дошкольного образования, имеющих образование по специальности «Дошкольное образование», менее 35 процентов;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>доля воспитателей дошкольного образования, имеющих высшую и первую квалификационные категории, менее 35 процентов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 w:rsidRP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13.1.2. Соответствие требованиям и условиям, установленным лицензией на право осуществления образовательной деятельности: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 xml:space="preserve">превышение предельной численности обучающихся, указанной в лицензии, в том числе в обособленном подразделении (филиале);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>реализация образовательных программ, составляющих лицензируемый вид деятельности, не указанных в лицензии, в том числе в обособленном подразделении (филиале)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13.1.3. Обеспечение безопасности образовательного процесса (динамика случаев травматизма воспитанников) – наличие учащихся, получивших травмы во время образовательного процесса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13.1.4. Отсутствие нарушений в работе учреждения образования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13.1.5. Отсутствие обоснованных жалоб на работу учреждения образования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13.1.6. Работа на рынке образовательных услуг более 20 лет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–1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 w:rsidRP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13.2. Учреждения общего среднего образования и специального образования на уровне общего среднего образования: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13.2.1. Обеспеченность педагогическими кадрами: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 xml:space="preserve">процент укомплектованности учреждения образования педагогическими работниками, для которых эта работа является основным местом работы, менее 60 процентов;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>доля педагогических работников, имеющих высшую и первую квалификационные категории, менее 50 процентов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 w:rsidRP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13.2.2. Соответствие требованиям и условиям, установленным лицензией на право осуществления образовательной деятельности: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 xml:space="preserve">превышение предельной численности обучающихся, указанной в лицензии, в том числе в обособленном подразделении (филиале);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>реализация образовательных программ по специальностям, не указанным в лицензии (при наличии уровня среднего специального образования)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13.2.3. Государственная аккредитация: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 xml:space="preserve">отказ в государственной аккредитации (подтверждении государственной аккредитации);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13.2.4. Жизнеустройство выпускников: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 xml:space="preserve">количество выпускников, получивших общее базовое образование, которые нигде не работают и не учатся;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>количество выпускников, получивших общее среднее образование, которые нигде не работают и не учатся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13.2.5. Обеспечение безопасности образовательного процесса – наличие учащихся, получивших травмы во время образовательного процесса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13.2.6. Отсутствие нарушений в работе учреждения образования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13.2.7. Отсутствие обоснованных жалоб на работу учреждения образования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13.2.8. Работа на рынке образовательных услуг более 20 лет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–1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 w:rsidRP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13.3. Учреждения дополнительного образования детей и молодежи: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13.3.1. Обеспеченность педагогическими кадрами: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 xml:space="preserve">процент укомплектованности учреждения образования педагогическими работниками, для которых эта работа является основным местом работы, менее 60 процентов;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>количественный состав педагогических работников, имеющих первую и высшую квалификационные категории, менее 30 процентов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13.3.2. Отсутствие нарушений в работе учреждения образования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13.3.3. Отсутствие обоснованных жалоб на работу учреждения образования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13.3.4. Работа на рынке образовательных услуг более 20 лет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–1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13.4. Учреждения среднего специального образования: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13.4.1. Обеспеченность педагогическими кадрами: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 xml:space="preserve">процент укомплектованности учреждения образования педагогическими работниками, для которых эта работа является основным местом работы, менее 70 процентов;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 xml:space="preserve">количественный состав педагогических работников, имеющих первую и высшую квалификационные категории, менее 40 процентов;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 w:rsidRP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13.4.2. Соответствие требованиям и условиям, установленным лицензией на право осуществления образовательной деятельности: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 xml:space="preserve">превышение предельной численности обучающихся, указанной в лицензии, в том числе в обособленном подразделении (филиале);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>реализация образовательных программ по специальностям, не указанным в лицензии (при наличии уровня среднего специального образования)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13.4.3. Государственная аккредитация: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 xml:space="preserve">отказ в государственной аккредитации (подтверждении государственной аккредитации);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13.4.4. Жизнеустройство обучающихся: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 xml:space="preserve">процент сохранения контингента обучающихся на протяжении всего периода обучения от контрольных цифр приема в дневной форме за счет средств бюджета (в разрезе специальностей) менее 90 процентов;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>процент выпускников, обучавшихся за счет средств бюджета в дневной форме, получивших направление на работу по полученной специальности, от общего числа выпускников, подлежащих распределению, менее 90 процентов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13.4.5. Отсутствие нарушений в работе учреждения образования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13.4.6. Отсутствие обоснованных жалоб на работу учреждения образования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13.4.7. Работа на рынке образовательных услуг более 20 лет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–1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13.5. Учреждения дополнительного образования взрослых: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 w:rsidRP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13.5.1. Соответствие требованиям и условиям, установленным лицензией на право осуществления образовательной деятельности: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 xml:space="preserve">превышение предельной численности обучающихся, указанной в лицензии, в том числе в обособленном подразделении (филиале);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>реализация образовательных программ по специальностям, не указанным в лицензии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13.5.2. Государственная аккредитация: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 xml:space="preserve">отказ в государственной аккредитации (подтверждении государственной аккредитации);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13.5.3. Отсутствие нарушений в работе учреждения образования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13.5.4. Отсутствие обоснованных жалоб на работу учреждения образования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13.5.5. Работа на рынке образовательных услуг более 20 лет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–1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 w:rsidRP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13.6. Иные организации, которым в соответствии с законодательством предоставлено право осуществлять образовательную деятельность по профилю образования, направлению образования: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06547B" w:rsidRP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13.6.1. Соответствие требованиям и условиям, установленным лицензией на право осуществления образовательной деятельности: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 xml:space="preserve">превышение предельной численности обучающихся, указанной в лицензии, в том числе в обособленном подразделении (филиале);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>реализация образовательных программ по профилю образования, направлению образования, не указанным в лицензии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13.6.2. Государственная аккредитация: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 xml:space="preserve">отказ в государственной аккредитации (подтверждении государственной аккредитации);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ind w:firstLine="136"/>
            </w:pPr>
            <w:r>
              <w:t>выдача иной организацией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13.6.3. Отсутствие нарушений в работе учреждения образования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13.6.4. Отсутствие обоснованных жалоб на работу учреждения образования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13.6.5. Работа на рынке образовательных услуг более 20 лет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–1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14. Контроль в области торговли, общественного питания, бытового обслуживания населения, защиты прав потребителей, рекламной деятельности (повышающий коэффициент 1,3)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14.1. Проверяемый субъект осуществляет деятельность в сфере торговли продовольственными товарами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С начала календарного года, предшествующего году формирования сводного плана проверок</w:t>
            </w: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14.2. Проверяемый субъект осуществляет деятельность в сфере торговли непродовольственными товарами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14.3. Проверяемый субъект осуществляет деятельность в сфере бытового обслуживания населения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14.4. Проверяемый субъект осуществляет деятельность в сфере общественного питания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14.5. Проверяемый субъект осуществляет лицензионную деятельность (оптовая и (или) розничная торговля алкогольными напитками и (или) табачными изделиями)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14.6. Наличие сведений о нарушении проверяемым субъектом, осуществляющим оптовую и (или) розничную торговлю алкогольными напитками и (или) табачными изделиями, лицензионных требований и условий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14.7. Наличие обоснованных обращений граждан и юридических лиц по вопросам нарушения законодательства в сферах контроля (надзора) контролирующего (надзорного) органа, создающего угрозу национальной безопасности, причинения вреда жизни и здоровью населения, окружающей среде (одно-два обращения)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14.8. Наличие обоснованных обращений граждан и юридических лиц по вопросам нарушения законодательства в сферах контроля (надзора) контролирующего (надзорного) органа, создающего угрозу национальной безопасности, причинения вреда жизни и здоровью населения, окружающей среде (три и более обращения)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14.9. Наличие обоснованных обращений граждан и юридических лиц по вопросам нарушения законодательства в сферах контроля (надзора) контролирующего (надзорного) органа, не создающего угрозу национальной безопасности, причинения вреда жизни и здоровью населения, окружающей среде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14.10. Наличие по результатам предыдущих контрольно-надзорных мероприятий фактов нарушений, создававших угрозу национальной безопасности, причинения вреда жизни и здоровью населения, окружающей среде (в текущем году, а также в течение двух календарных лет, ему предшествующих)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14.11. Наличие по результатам предыдущих контрольно-надзорных мероприятий фактов нарушений, не создававших угрозу национальной безопасности, причинения вреда жизни и здоровью населения, окружающей среде (в текущем году, а также в течение двух календарных лет, ему предшествующих)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14.12 Наличие фактов неисполнения (ненадлежащего исполнения) предписаний (требований) и рекомендаций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14.13. Наличие фактов несоблюдения сроков исполнения предписаний (требований) и рекомендаций или информирования об их исполнении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14.14. Наличие иных сведений, в том числе полученных в рамках осуществления контроля (надзора) контролирующего (надзорного) органа, указывающих на наличие признаков нарушения законодательства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14.15. Наличие неоднократных обоснованных обращений граждан по вопросам качества и безопасности реализуемых товаров (работ, услуг), сроков исполнения обязательств по договорам, неисполнения судебных решений (до 5 обращений в отчетном периоде) в сферах контроля (надзора) контролирующего (надзорного) органа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14.16. Наличие неоднократных обоснованных обращений граждан по вопросам качества и безопасности реализуемых товаров (работ, услуг), сроков исполнения обязательств по договорам, неисполнения судебных решений (5 и более обращений в отчетном периоде) в сферах контроля (надзора) контролирующего (надзорного) органа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14.17. Отсутствие нарушений в работе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14.18. Отсутствие обоснованных жалоб на субъекта в текущем году, а также в течение двух календарных лет, ему предшествующих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15. Контроль за деятельностью, в том числе финансово-хозяйственной, организаций застройщиков, гаражных кооперативов и кооперативов, осуществляющих эксплуатацию автомобильных стоянок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15.1. Привлечение должностных лиц проверяемого субъекта за нарушение законодательства к административной ответственности по основаниям, предусмотренным статьями 11.1–12.1, 12.8–12.12, 12.15, 12.22, 12.29, 12.32–12.33, 13.1–13.5, 13.10, 13.13–13.15, 22.14, 24.25, 24.58 КоАП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 баллов за каждый факт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В течение года, предшествующего году проведения выборочной проверки </w:t>
            </w: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15.2. Наличие обоснованных обращений граждан и (или) юридических лиц в отношении проверяемого субъекта о нарушениях законодательства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 балла за каждый факт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15.3. Наличие просроченной задолженности по оплате за поставленную электроэнергию, газ и прочие жилищно-коммунальные услуги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15.4. Наличие достоверной информации о невыполнении организацией застройщиков, гаражными кооперативами и кооперативами, осуществляющими эксплуатацию автомобильных стоянок, обязанностей, предусмотренных законодательством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15.5. Привлечение юридического лица и (или) его должностных лиц к административной ответственности за совершение административного правонарушения в области предпринимательской деятельности, против экологической безопасности, окружающей среды и порядка природопользования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15.6. Наличие сведений об осуществлении на территории организаций застройщиков, гаражных кооперативов и кооперативов, осуществляющих эксплуатацию автомобильных стоянок, предпринимательской деятельности, не предусмотренной уставом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15.7. Получение субсидий из бюджета на финансирование расходов по оказанию жилищно-коммунальных услуг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15.8. Отсутствие нарушений в работе субъекта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15.9. Сохранение действующих и создание не менее 3 новых рабочих мест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15.10. Длительность работы на рынке более 10 лет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16. Контроль за деятельностью садоводческих товариществ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16.1. Привлечение должностных лиц проверяемого субъекта за нарушение законодательства к административной ответственности по основаниям, предусмотренным статьями 11.1–12.1, 12.8–12.12, 12.15, 12.22, 12.29, 12.32–12.33, 13.1–13.5, 13.10, 13.13–13.15, 22.14, 24.25, 24.58 КоАП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 баллов за каждый факт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В течение года, предшествующего году проведения выборочной проверки 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16.2. Наличие обоснованных обращений граждан и (или) юридических лиц в отношении проверяемого субъекта о нарушениях законодательства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 балла за каждый факт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16.3. Наличие просроченной задолженности по оплате за поставленную электроэнергию, газ и прочие жилищно-коммунальные услуги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16.4. Наличие достоверной информации о невыполнении садоводческим товариществом обязанностей, предусмотренных законодательством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16.5. Привлечение юридического лица и (или) его должностных лиц к административной ответственности за совершение административного правонарушения в области предпринимательской деятельности, против экологической безопасности, окружающей среды и порядка природопользования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16.6. Наличие сведений об осуществлении на территории садоводческих товариществ предпринимательской деятельности, не предусмотренной уставом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16.7. Наличие достоверной информации о несоблюдении членами садоводческого товарищества природоохранного законодательства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16.8. Наличие достоверной информации о несоблюдении членами садоводческого товарищества земельного законодательства, включая самовольное занятие земель, несоответствие фактических границ участков правоустанавливающим документам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16.9. Отсутствие нарушений в работе субъекта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17. Контроль за деятельностью товариществ собственников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17.1. Привлечение должностных лиц проверяемого субъекта за нарушение законодательства к административной ответственности по основаниям, предусмотренным статьями 11.1–12.1, 12.8–12.12, 12.15, 12.22, 12.29, 12.32–12.33, 13.1–13.5, 13.10, 13.13–13.15, 22.14, 24.25, 24.58 КоАП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 баллов за каждый факт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В течение года, предшествующего году проведения выборочной проверки 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17.2. Наличие обоснованных обращений граждан и (или) юридических лиц в отношении проверяемого субъекта о нарушениях законодательства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2 балла за каждый факт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17.3. Наличие просроченной задолженности по оплате за постановленную электроэнергию, газ и прочие жилищно-коммунальные услуги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17.4. Наличие достоверной информации о невыполнении товариществом собственников обязанностей, возложенных законодательством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17.5. Привлечение юридического лица и (или) его должностных лиц к административной ответственности за совершение административного правонарушения в области предпринимательской деятельности, против экологической безопасности, окружающей среды и порядка природопользования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17.6. Наличие сведений об осуществлении на территории предпринимательской деятельности, не предусмотренной уставом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17.7. Получение субсидий из бюджета на финансирование расходов по оказанию жилищно-коммунальных услуг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17.8. Отсутствие нарушений в работе субъекта за предыдущие проверяемые периоды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 w:rsidRPr="0006547B">
        <w:trPr>
          <w:trHeight w:val="240"/>
        </w:trPr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18. Контроль за выполнением лицензиатами законодательства о лицензировании, лицензионных требований и условий осуществления лицензируемого вида деятельности (повышающий коэффициент 1,2)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18.1. Наличие достоверной информации о реализации проверяемым субъектом фальсифицированных алкогольных напитков, табачных изделий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5 баллов за каждый факт</w:t>
            </w:r>
          </w:p>
        </w:tc>
        <w:tc>
          <w:tcPr>
            <w:tcW w:w="8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 xml:space="preserve">В течение года, предшествующего году проведения выборочной проверки </w:t>
            </w: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Pr="0006547B" w:rsidRDefault="0006547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18.2. Поступление информации от иных контролирующих (надзорных) органов, а также производителей (поставщиков) о просроченной задолженности проверяемого субъекта два и более раза в течение календарного года по расчетам за поставленные алкогольные напитки, табачные изделия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10 баллов за каждый факт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18.3. Наличие достоверной информации об оптовой торговле алкогольными напитками, табачными изделиями и (или) хранение таких напитков и изделий без акцизных марок Республики Беларусь, специальных марок и (или) специальных знаков, если маркировка указанных напитков и изделий этими марками, знаками предусмотрена законодательными актами, а также с поддельными акцизными марками и (или) специальными марками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3 балла за каждый факт</w:t>
            </w:r>
          </w:p>
        </w:tc>
        <w:tc>
          <w:tcPr>
            <w:tcW w:w="0" w:type="auto"/>
            <w:vMerge/>
            <w:vAlign w:val="center"/>
            <w:hideMark/>
          </w:tcPr>
          <w:p w:rsidR="0006547B" w:rsidRDefault="0006547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547B">
        <w:trPr>
          <w:trHeight w:val="240"/>
        </w:trPr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18.4. Наличие достоверной информации об оптовой торговле алкогольными напитками, непищевой спиртосодержащей продукцией, непищевым этиловым спиртом, табачными изделиями и (или) хранение таких напитков, продукции, изделий без наличия сопроводительных документов, подтверждающих легальность их импорта в Республику Беларусь и (или) приобретения (поставки)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  <w:tr w:rsidR="0006547B">
        <w:trPr>
          <w:trHeight w:val="240"/>
        </w:trPr>
        <w:tc>
          <w:tcPr>
            <w:tcW w:w="10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18.5. Отсутствие нарушений в работе проверяемого субъекта за предыдущий проверяемый период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  <w:jc w:val="center"/>
            </w:pPr>
            <w:r>
              <w:t>–3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47B" w:rsidRDefault="0006547B">
            <w:pPr>
              <w:pStyle w:val="table10"/>
              <w:spacing w:before="120"/>
            </w:pPr>
            <w:r>
              <w:t> </w:t>
            </w:r>
          </w:p>
        </w:tc>
      </w:tr>
    </w:tbl>
    <w:p w:rsidR="0006547B" w:rsidRDefault="0006547B">
      <w:pPr>
        <w:pStyle w:val="newncpi"/>
      </w:pPr>
      <w:r>
        <w:t> </w:t>
      </w:r>
    </w:p>
    <w:p w:rsidR="00431C9F" w:rsidRDefault="00431C9F"/>
    <w:sectPr w:rsidR="00431C9F" w:rsidSect="0006547B">
      <w:pgSz w:w="16838" w:h="11906" w:orient="landscape"/>
      <w:pgMar w:top="567" w:right="289" w:bottom="567" w:left="340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1CA9" w:rsidRDefault="005C1CA9" w:rsidP="0006547B">
      <w:pPr>
        <w:spacing w:after="0" w:line="240" w:lineRule="auto"/>
      </w:pPr>
      <w:r>
        <w:separator/>
      </w:r>
    </w:p>
  </w:endnote>
  <w:endnote w:type="continuationSeparator" w:id="0">
    <w:p w:rsidR="005C1CA9" w:rsidRDefault="005C1CA9" w:rsidP="0006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547B" w:rsidRDefault="000654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547B" w:rsidRDefault="000654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06547B" w:rsidRPr="0006547B" w:rsidTr="0006547B">
      <w:tc>
        <w:tcPr>
          <w:tcW w:w="1800" w:type="dxa"/>
          <w:shd w:val="clear" w:color="auto" w:fill="auto"/>
          <w:vAlign w:val="center"/>
        </w:tcPr>
        <w:p w:rsidR="0006547B" w:rsidRDefault="0006547B">
          <w:pPr>
            <w:pStyle w:val="a7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851043765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104376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06547B" w:rsidRPr="0006547B" w:rsidRDefault="0006547B">
          <w:pPr>
            <w:pStyle w:val="a7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06547B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10.05.2024</w:t>
          </w:r>
        </w:p>
        <w:p w:rsidR="0006547B" w:rsidRPr="0006547B" w:rsidRDefault="0006547B">
          <w:pPr>
            <w:pStyle w:val="a7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06547B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правовой информации Республики Беларусь</w:t>
          </w:r>
        </w:p>
      </w:tc>
    </w:tr>
  </w:tbl>
  <w:p w:rsidR="0006547B" w:rsidRPr="0006547B" w:rsidRDefault="0006547B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1CA9" w:rsidRDefault="005C1CA9" w:rsidP="0006547B">
      <w:pPr>
        <w:spacing w:after="0" w:line="240" w:lineRule="auto"/>
      </w:pPr>
      <w:r>
        <w:separator/>
      </w:r>
    </w:p>
  </w:footnote>
  <w:footnote w:type="continuationSeparator" w:id="0">
    <w:p w:rsidR="005C1CA9" w:rsidRDefault="005C1CA9" w:rsidP="00065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547B" w:rsidRDefault="0006547B" w:rsidP="00E219D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06547B" w:rsidRDefault="000654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547B" w:rsidRPr="0006547B" w:rsidRDefault="0006547B" w:rsidP="00E219DD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06547B">
      <w:rPr>
        <w:rStyle w:val="a9"/>
        <w:rFonts w:ascii="Times New Roman" w:hAnsi="Times New Roman" w:cs="Times New Roman"/>
        <w:sz w:val="24"/>
      </w:rPr>
      <w:fldChar w:fldCharType="begin"/>
    </w:r>
    <w:r w:rsidRPr="0006547B">
      <w:rPr>
        <w:rStyle w:val="a9"/>
        <w:rFonts w:ascii="Times New Roman" w:hAnsi="Times New Roman" w:cs="Times New Roman"/>
        <w:sz w:val="24"/>
      </w:rPr>
      <w:instrText xml:space="preserve"> PAGE </w:instrText>
    </w:r>
    <w:r w:rsidRPr="0006547B">
      <w:rPr>
        <w:rStyle w:val="a9"/>
        <w:rFonts w:ascii="Times New Roman" w:hAnsi="Times New Roman" w:cs="Times New Roman"/>
        <w:sz w:val="24"/>
      </w:rPr>
      <w:fldChar w:fldCharType="separate"/>
    </w:r>
    <w:r w:rsidRPr="0006547B">
      <w:rPr>
        <w:rStyle w:val="a9"/>
        <w:rFonts w:ascii="Times New Roman" w:hAnsi="Times New Roman" w:cs="Times New Roman"/>
        <w:noProof/>
        <w:sz w:val="24"/>
      </w:rPr>
      <w:t>16</w:t>
    </w:r>
    <w:r w:rsidRPr="0006547B">
      <w:rPr>
        <w:rStyle w:val="a9"/>
        <w:rFonts w:ascii="Times New Roman" w:hAnsi="Times New Roman" w:cs="Times New Roman"/>
        <w:sz w:val="24"/>
      </w:rPr>
      <w:fldChar w:fldCharType="end"/>
    </w:r>
  </w:p>
  <w:p w:rsidR="0006547B" w:rsidRPr="0006547B" w:rsidRDefault="0006547B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547B" w:rsidRDefault="000654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7B"/>
    <w:rsid w:val="0006547B"/>
    <w:rsid w:val="00431C9F"/>
    <w:rsid w:val="004E455A"/>
    <w:rsid w:val="005C1CA9"/>
    <w:rsid w:val="00A0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08614-E002-41B6-8E14-B67D5181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547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6547B"/>
    <w:rPr>
      <w:color w:val="154C94"/>
      <w:u w:val="single"/>
    </w:rPr>
  </w:style>
  <w:style w:type="paragraph" w:customStyle="1" w:styleId="msonormal0">
    <w:name w:val="msonormal"/>
    <w:basedOn w:val="a"/>
    <w:rsid w:val="000654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article">
    <w:name w:val="article"/>
    <w:basedOn w:val="a"/>
    <w:rsid w:val="0006547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title">
    <w:name w:val="title"/>
    <w:basedOn w:val="a"/>
    <w:rsid w:val="0006547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titlencpi">
    <w:name w:val="titlencpi"/>
    <w:basedOn w:val="a"/>
    <w:rsid w:val="0006547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aspaper">
    <w:name w:val="aspaper"/>
    <w:basedOn w:val="a"/>
    <w:rsid w:val="0006547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kern w:val="0"/>
      <w:sz w:val="24"/>
      <w:szCs w:val="24"/>
      <w:lang w:val="ru-BY" w:eastAsia="ru-BY"/>
      <w14:ligatures w14:val="none"/>
    </w:rPr>
  </w:style>
  <w:style w:type="paragraph" w:customStyle="1" w:styleId="chapter">
    <w:name w:val="chapter"/>
    <w:basedOn w:val="a"/>
    <w:rsid w:val="0006547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val="ru-BY" w:eastAsia="ru-BY"/>
      <w14:ligatures w14:val="none"/>
    </w:rPr>
  </w:style>
  <w:style w:type="paragraph" w:customStyle="1" w:styleId="titleg">
    <w:name w:val="titleg"/>
    <w:basedOn w:val="a"/>
    <w:rsid w:val="0006547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titlepr">
    <w:name w:val="titlepr"/>
    <w:basedOn w:val="a"/>
    <w:rsid w:val="0006547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agree">
    <w:name w:val="agree"/>
    <w:basedOn w:val="a"/>
    <w:rsid w:val="0006547B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razdel">
    <w:name w:val="razdel"/>
    <w:basedOn w:val="a"/>
    <w:rsid w:val="0006547B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kern w:val="0"/>
      <w:sz w:val="32"/>
      <w:szCs w:val="32"/>
      <w:lang w:val="ru-BY" w:eastAsia="ru-BY"/>
      <w14:ligatures w14:val="none"/>
    </w:rPr>
  </w:style>
  <w:style w:type="paragraph" w:customStyle="1" w:styleId="podrazdel">
    <w:name w:val="podrazdel"/>
    <w:basedOn w:val="a"/>
    <w:rsid w:val="0006547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val="ru-BY" w:eastAsia="ru-BY"/>
      <w14:ligatures w14:val="none"/>
    </w:rPr>
  </w:style>
  <w:style w:type="paragraph" w:customStyle="1" w:styleId="titlep">
    <w:name w:val="titlep"/>
    <w:basedOn w:val="a"/>
    <w:rsid w:val="0006547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06547B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titleu">
    <w:name w:val="titleu"/>
    <w:basedOn w:val="a"/>
    <w:rsid w:val="0006547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titlek">
    <w:name w:val="titlek"/>
    <w:basedOn w:val="a"/>
    <w:rsid w:val="0006547B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kern w:val="0"/>
      <w:sz w:val="24"/>
      <w:szCs w:val="24"/>
      <w:lang w:val="ru-BY" w:eastAsia="ru-BY"/>
      <w14:ligatures w14:val="none"/>
    </w:rPr>
  </w:style>
  <w:style w:type="paragraph" w:customStyle="1" w:styleId="izvlechen">
    <w:name w:val="izvlechen"/>
    <w:basedOn w:val="a"/>
    <w:rsid w:val="0006547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point">
    <w:name w:val="point"/>
    <w:basedOn w:val="a"/>
    <w:rsid w:val="0006547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erpoint">
    <w:name w:val="underpoint"/>
    <w:basedOn w:val="a"/>
    <w:rsid w:val="0006547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signed">
    <w:name w:val="signed"/>
    <w:basedOn w:val="a"/>
    <w:rsid w:val="0006547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odobren">
    <w:name w:val="odobren"/>
    <w:basedOn w:val="a"/>
    <w:rsid w:val="0006547B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odobren1">
    <w:name w:val="odobren1"/>
    <w:basedOn w:val="a"/>
    <w:rsid w:val="0006547B"/>
    <w:pPr>
      <w:spacing w:after="12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comment">
    <w:name w:val="comment"/>
    <w:basedOn w:val="a"/>
    <w:rsid w:val="0006547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preamble">
    <w:name w:val="preamble"/>
    <w:basedOn w:val="a"/>
    <w:rsid w:val="0006547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snoski">
    <w:name w:val="snoski"/>
    <w:basedOn w:val="a"/>
    <w:rsid w:val="0006547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06547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paragraph">
    <w:name w:val="paragraph"/>
    <w:basedOn w:val="a"/>
    <w:rsid w:val="0006547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table10">
    <w:name w:val="table10"/>
    <w:basedOn w:val="a"/>
    <w:rsid w:val="0006547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numnrpa">
    <w:name w:val="numnrpa"/>
    <w:basedOn w:val="a"/>
    <w:rsid w:val="0006547B"/>
    <w:pPr>
      <w:spacing w:after="0" w:line="240" w:lineRule="auto"/>
    </w:pPr>
    <w:rPr>
      <w:rFonts w:ascii="Times New Roman" w:eastAsiaTheme="minorEastAsia" w:hAnsi="Times New Roman" w:cs="Times New Roman"/>
      <w:kern w:val="0"/>
      <w:sz w:val="36"/>
      <w:szCs w:val="36"/>
      <w:lang w:val="ru-BY" w:eastAsia="ru-BY"/>
      <w14:ligatures w14:val="none"/>
    </w:rPr>
  </w:style>
  <w:style w:type="paragraph" w:customStyle="1" w:styleId="append">
    <w:name w:val="append"/>
    <w:basedOn w:val="a"/>
    <w:rsid w:val="0006547B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prinodobren">
    <w:name w:val="prinodobren"/>
    <w:basedOn w:val="a"/>
    <w:rsid w:val="0006547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kern w:val="0"/>
      <w:sz w:val="24"/>
      <w:szCs w:val="24"/>
      <w:lang w:val="ru-BY" w:eastAsia="ru-BY"/>
      <w14:ligatures w14:val="none"/>
    </w:rPr>
  </w:style>
  <w:style w:type="paragraph" w:customStyle="1" w:styleId="spiski">
    <w:name w:val="spiski"/>
    <w:basedOn w:val="a"/>
    <w:rsid w:val="0006547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onumheader">
    <w:name w:val="nonumheader"/>
    <w:basedOn w:val="a"/>
    <w:rsid w:val="0006547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numheader">
    <w:name w:val="numheader"/>
    <w:basedOn w:val="a"/>
    <w:rsid w:val="0006547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agreefio">
    <w:name w:val="agreefio"/>
    <w:basedOn w:val="a"/>
    <w:rsid w:val="0006547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greedate">
    <w:name w:val="agreedate"/>
    <w:basedOn w:val="a"/>
    <w:rsid w:val="0006547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changeadd">
    <w:name w:val="changeadd"/>
    <w:basedOn w:val="a"/>
    <w:rsid w:val="0006547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i">
    <w:name w:val="changei"/>
    <w:basedOn w:val="a"/>
    <w:rsid w:val="0006547B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utrs">
    <w:name w:val="changeutrs"/>
    <w:basedOn w:val="a"/>
    <w:rsid w:val="0006547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old">
    <w:name w:val="changeold"/>
    <w:basedOn w:val="a"/>
    <w:rsid w:val="0006547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kern w:val="0"/>
      <w:sz w:val="24"/>
      <w:szCs w:val="24"/>
      <w:lang w:val="ru-BY" w:eastAsia="ru-BY"/>
      <w14:ligatures w14:val="none"/>
    </w:rPr>
  </w:style>
  <w:style w:type="paragraph" w:customStyle="1" w:styleId="append1">
    <w:name w:val="append1"/>
    <w:basedOn w:val="a"/>
    <w:rsid w:val="0006547B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cap1">
    <w:name w:val="cap1"/>
    <w:basedOn w:val="a"/>
    <w:rsid w:val="0006547B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capu1">
    <w:name w:val="capu1"/>
    <w:basedOn w:val="a"/>
    <w:rsid w:val="0006547B"/>
    <w:pPr>
      <w:spacing w:after="12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06547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06547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1">
    <w:name w:val="newncpi1"/>
    <w:basedOn w:val="a"/>
    <w:rsid w:val="0006547B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edizmeren">
    <w:name w:val="edizmeren"/>
    <w:basedOn w:val="a"/>
    <w:rsid w:val="0006547B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zagrazdel">
    <w:name w:val="zagrazdel"/>
    <w:basedOn w:val="a"/>
    <w:rsid w:val="0006547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val="ru-BY" w:eastAsia="ru-BY"/>
      <w14:ligatures w14:val="none"/>
    </w:rPr>
  </w:style>
  <w:style w:type="paragraph" w:customStyle="1" w:styleId="placeprin">
    <w:name w:val="placeprin"/>
    <w:basedOn w:val="a"/>
    <w:rsid w:val="0006547B"/>
    <w:pPr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primer">
    <w:name w:val="primer"/>
    <w:basedOn w:val="a"/>
    <w:rsid w:val="0006547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withpar">
    <w:name w:val="withpar"/>
    <w:basedOn w:val="a"/>
    <w:rsid w:val="0006547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withoutpar">
    <w:name w:val="withoutpar"/>
    <w:basedOn w:val="a"/>
    <w:rsid w:val="0006547B"/>
    <w:pPr>
      <w:spacing w:after="6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line">
    <w:name w:val="undline"/>
    <w:basedOn w:val="a"/>
    <w:rsid w:val="0006547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underline">
    <w:name w:val="underline"/>
    <w:basedOn w:val="a"/>
    <w:rsid w:val="0006547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ncpicomment">
    <w:name w:val="ncpicomment"/>
    <w:basedOn w:val="a"/>
    <w:rsid w:val="0006547B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kern w:val="0"/>
      <w:sz w:val="24"/>
      <w:szCs w:val="24"/>
      <w:lang w:val="ru-BY" w:eastAsia="ru-BY"/>
      <w14:ligatures w14:val="none"/>
    </w:rPr>
  </w:style>
  <w:style w:type="paragraph" w:customStyle="1" w:styleId="rekviziti">
    <w:name w:val="rekviziti"/>
    <w:basedOn w:val="a"/>
    <w:rsid w:val="0006547B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cpidel">
    <w:name w:val="ncpidel"/>
    <w:basedOn w:val="a"/>
    <w:rsid w:val="0006547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tsifra">
    <w:name w:val="tsifra"/>
    <w:basedOn w:val="a"/>
    <w:rsid w:val="0006547B"/>
    <w:pPr>
      <w:spacing w:after="0" w:line="240" w:lineRule="auto"/>
    </w:pPr>
    <w:rPr>
      <w:rFonts w:ascii="Times New Roman" w:eastAsiaTheme="minorEastAsia" w:hAnsi="Times New Roman" w:cs="Times New Roman"/>
      <w:b/>
      <w:bCs/>
      <w:kern w:val="0"/>
      <w:sz w:val="36"/>
      <w:szCs w:val="36"/>
      <w:lang w:val="ru-BY" w:eastAsia="ru-BY"/>
      <w14:ligatures w14:val="none"/>
    </w:rPr>
  </w:style>
  <w:style w:type="paragraph" w:customStyle="1" w:styleId="articleintext">
    <w:name w:val="articleintext"/>
    <w:basedOn w:val="a"/>
    <w:rsid w:val="0006547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v">
    <w:name w:val="newncpiv"/>
    <w:basedOn w:val="a"/>
    <w:rsid w:val="0006547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4"/>
      <w:szCs w:val="24"/>
      <w:lang w:val="ru-BY" w:eastAsia="ru-BY"/>
      <w14:ligatures w14:val="none"/>
    </w:rPr>
  </w:style>
  <w:style w:type="paragraph" w:customStyle="1" w:styleId="snoskiv">
    <w:name w:val="snoskiv"/>
    <w:basedOn w:val="a"/>
    <w:rsid w:val="0006547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 w:val="ru-BY" w:eastAsia="ru-BY"/>
      <w14:ligatures w14:val="none"/>
    </w:rPr>
  </w:style>
  <w:style w:type="paragraph" w:customStyle="1" w:styleId="articlev">
    <w:name w:val="articlev"/>
    <w:basedOn w:val="a"/>
    <w:rsid w:val="0006547B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kern w:val="0"/>
      <w:sz w:val="24"/>
      <w:szCs w:val="24"/>
      <w:lang w:val="ru-BY" w:eastAsia="ru-BY"/>
      <w14:ligatures w14:val="none"/>
    </w:rPr>
  </w:style>
  <w:style w:type="paragraph" w:customStyle="1" w:styleId="contentword">
    <w:name w:val="contentword"/>
    <w:basedOn w:val="a"/>
    <w:rsid w:val="0006547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kern w:val="0"/>
      <w:lang w:val="ru-BY" w:eastAsia="ru-BY"/>
      <w14:ligatures w14:val="none"/>
    </w:rPr>
  </w:style>
  <w:style w:type="paragraph" w:customStyle="1" w:styleId="contenttext">
    <w:name w:val="contenttext"/>
    <w:basedOn w:val="a"/>
    <w:rsid w:val="0006547B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gosreg">
    <w:name w:val="gosreg"/>
    <w:basedOn w:val="a"/>
    <w:rsid w:val="0006547B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 w:val="ru-BY" w:eastAsia="ru-BY"/>
      <w14:ligatures w14:val="none"/>
    </w:rPr>
  </w:style>
  <w:style w:type="paragraph" w:customStyle="1" w:styleId="articlect">
    <w:name w:val="articlect"/>
    <w:basedOn w:val="a"/>
    <w:rsid w:val="0006547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letter">
    <w:name w:val="letter"/>
    <w:basedOn w:val="a"/>
    <w:rsid w:val="0006547B"/>
    <w:pPr>
      <w:spacing w:before="240" w:after="24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recepient">
    <w:name w:val="recepient"/>
    <w:basedOn w:val="a"/>
    <w:rsid w:val="0006547B"/>
    <w:pPr>
      <w:spacing w:after="0" w:line="240" w:lineRule="auto"/>
      <w:ind w:left="5103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doklad">
    <w:name w:val="doklad"/>
    <w:basedOn w:val="a"/>
    <w:rsid w:val="0006547B"/>
    <w:pPr>
      <w:spacing w:after="0" w:line="240" w:lineRule="auto"/>
      <w:ind w:left="2835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onpaper">
    <w:name w:val="onpaper"/>
    <w:basedOn w:val="a"/>
    <w:rsid w:val="0006547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 w:val="ru-BY" w:eastAsia="ru-BY"/>
      <w14:ligatures w14:val="none"/>
    </w:rPr>
  </w:style>
  <w:style w:type="paragraph" w:customStyle="1" w:styleId="formula">
    <w:name w:val="formula"/>
    <w:basedOn w:val="a"/>
    <w:rsid w:val="0006547B"/>
    <w:pPr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tableblank">
    <w:name w:val="tableblank"/>
    <w:basedOn w:val="a"/>
    <w:rsid w:val="0006547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table9">
    <w:name w:val="table9"/>
    <w:basedOn w:val="a"/>
    <w:rsid w:val="0006547B"/>
    <w:pPr>
      <w:spacing w:after="0" w:line="240" w:lineRule="auto"/>
    </w:pPr>
    <w:rPr>
      <w:rFonts w:ascii="Times New Roman" w:eastAsiaTheme="minorEastAsia" w:hAnsi="Times New Roman" w:cs="Times New Roman"/>
      <w:kern w:val="0"/>
      <w:sz w:val="18"/>
      <w:szCs w:val="18"/>
      <w:lang w:val="ru-BY" w:eastAsia="ru-BY"/>
      <w14:ligatures w14:val="none"/>
    </w:rPr>
  </w:style>
  <w:style w:type="paragraph" w:customStyle="1" w:styleId="table8">
    <w:name w:val="table8"/>
    <w:basedOn w:val="a"/>
    <w:rsid w:val="0006547B"/>
    <w:pPr>
      <w:spacing w:after="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val="ru-BY" w:eastAsia="ru-BY"/>
      <w14:ligatures w14:val="none"/>
    </w:rPr>
  </w:style>
  <w:style w:type="paragraph" w:customStyle="1" w:styleId="table7">
    <w:name w:val="table7"/>
    <w:basedOn w:val="a"/>
    <w:rsid w:val="0006547B"/>
    <w:pPr>
      <w:spacing w:after="0" w:line="240" w:lineRule="auto"/>
    </w:pPr>
    <w:rPr>
      <w:rFonts w:ascii="Times New Roman" w:eastAsiaTheme="minorEastAsia" w:hAnsi="Times New Roman" w:cs="Times New Roman"/>
      <w:kern w:val="0"/>
      <w:sz w:val="14"/>
      <w:szCs w:val="14"/>
      <w:lang w:val="ru-BY" w:eastAsia="ru-BY"/>
      <w14:ligatures w14:val="none"/>
    </w:rPr>
  </w:style>
  <w:style w:type="paragraph" w:customStyle="1" w:styleId="begform">
    <w:name w:val="begform"/>
    <w:basedOn w:val="a"/>
    <w:rsid w:val="0006547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endform">
    <w:name w:val="endform"/>
    <w:basedOn w:val="a"/>
    <w:rsid w:val="0006547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snoskishablon">
    <w:name w:val="snoskishablon"/>
    <w:basedOn w:val="a"/>
    <w:rsid w:val="0006547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fav">
    <w:name w:val="fav"/>
    <w:basedOn w:val="a"/>
    <w:rsid w:val="0006547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fav1">
    <w:name w:val="fav1"/>
    <w:basedOn w:val="a"/>
    <w:rsid w:val="0006547B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fav2">
    <w:name w:val="fav2"/>
    <w:basedOn w:val="a"/>
    <w:rsid w:val="0006547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dopinfo">
    <w:name w:val="dopinfo"/>
    <w:basedOn w:val="a"/>
    <w:rsid w:val="000654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divinsselect">
    <w:name w:val="divinsselect"/>
    <w:basedOn w:val="a"/>
    <w:rsid w:val="0006547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06547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6547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6547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6547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6547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547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6547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6547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6547B"/>
    <w:rPr>
      <w:rFonts w:ascii="Symbol" w:hAnsi="Symbol" w:hint="default"/>
    </w:rPr>
  </w:style>
  <w:style w:type="character" w:customStyle="1" w:styleId="onewind3">
    <w:name w:val="onewind3"/>
    <w:basedOn w:val="a0"/>
    <w:rsid w:val="0006547B"/>
    <w:rPr>
      <w:rFonts w:ascii="Wingdings 3" w:hAnsi="Wingdings 3" w:hint="default"/>
    </w:rPr>
  </w:style>
  <w:style w:type="character" w:customStyle="1" w:styleId="onewind2">
    <w:name w:val="onewind2"/>
    <w:basedOn w:val="a0"/>
    <w:rsid w:val="0006547B"/>
    <w:rPr>
      <w:rFonts w:ascii="Wingdings 2" w:hAnsi="Wingdings 2" w:hint="default"/>
    </w:rPr>
  </w:style>
  <w:style w:type="character" w:customStyle="1" w:styleId="onewind">
    <w:name w:val="onewind"/>
    <w:basedOn w:val="a0"/>
    <w:rsid w:val="0006547B"/>
    <w:rPr>
      <w:rFonts w:ascii="Wingdings" w:hAnsi="Wingdings" w:hint="default"/>
    </w:rPr>
  </w:style>
  <w:style w:type="character" w:customStyle="1" w:styleId="rednoun">
    <w:name w:val="rednoun"/>
    <w:basedOn w:val="a0"/>
    <w:rsid w:val="0006547B"/>
  </w:style>
  <w:style w:type="character" w:customStyle="1" w:styleId="post">
    <w:name w:val="post"/>
    <w:basedOn w:val="a0"/>
    <w:rsid w:val="0006547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6547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6547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6547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6547B"/>
    <w:rPr>
      <w:rFonts w:ascii="Arial" w:hAnsi="Arial" w:cs="Arial" w:hint="default"/>
    </w:rPr>
  </w:style>
  <w:style w:type="character" w:customStyle="1" w:styleId="snoskiindex">
    <w:name w:val="snoskiindex"/>
    <w:basedOn w:val="a0"/>
    <w:rsid w:val="0006547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654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BY" w:eastAsia="ru-BY"/>
      <w14:ligatures w14:val="none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654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47B"/>
  </w:style>
  <w:style w:type="paragraph" w:styleId="a7">
    <w:name w:val="footer"/>
    <w:basedOn w:val="a"/>
    <w:link w:val="a8"/>
    <w:uiPriority w:val="99"/>
    <w:unhideWhenUsed/>
    <w:rsid w:val="000654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47B"/>
  </w:style>
  <w:style w:type="character" w:styleId="a9">
    <w:name w:val="page number"/>
    <w:basedOn w:val="a0"/>
    <w:uiPriority w:val="99"/>
    <w:semiHidden/>
    <w:unhideWhenUsed/>
    <w:rsid w:val="0006547B"/>
  </w:style>
  <w:style w:type="table" w:styleId="aa">
    <w:name w:val="Table Grid"/>
    <w:basedOn w:val="a1"/>
    <w:uiPriority w:val="39"/>
    <w:rsid w:val="0006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4917</Words>
  <Characters>36541</Characters>
  <Application>Microsoft Office Word</Application>
  <DocSecurity>0</DocSecurity>
  <Lines>1461</Lines>
  <Paragraphs>560</Paragraphs>
  <ScaleCrop>false</ScaleCrop>
  <Company/>
  <LinksUpToDate>false</LinksUpToDate>
  <CharactersWithSpaces>40898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UprDel -Dem'yanenko</dc:creator>
  <cp:keywords/>
  <dc:description/>
  <cp:lastModifiedBy>UprDel -Dem'yanenko</cp:lastModifiedBy>
  <cp:revision>1</cp:revision>
  <dcterms:created xsi:type="dcterms:W3CDTF">2024-05-10T07:00:00Z</dcterms:created>
  <dcterms:modified xsi:type="dcterms:W3CDTF">2024-05-10T07:02:00Z</dcterms:modified>
</cp:coreProperties>
</file>